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847AF" w14:textId="14E6ADC9" w:rsidR="0033740A" w:rsidRDefault="0033740A" w:rsidP="00561E06">
      <w:pPr>
        <w:pStyle w:val="Heading1"/>
        <w:ind w:left="-426"/>
      </w:pPr>
      <w:bookmarkStart w:id="0" w:name="_Toc386460334"/>
      <w:r>
        <w:t>References</w:t>
      </w:r>
      <w:bookmarkEnd w:id="0"/>
    </w:p>
    <w:p w14:paraId="3A1CA62C" w14:textId="77777777" w:rsidR="003C5939" w:rsidRDefault="003C5939" w:rsidP="00561E06">
      <w:pPr>
        <w:pStyle w:val="EndNoteBibliography"/>
        <w:ind w:left="-426"/>
        <w:rPr>
          <w:sz w:val="22"/>
        </w:rPr>
      </w:pPr>
      <w:bookmarkStart w:id="1" w:name="_Hlk103086587"/>
    </w:p>
    <w:p w14:paraId="6ED66048" w14:textId="77777777" w:rsidR="002A328E" w:rsidRPr="002A328E" w:rsidRDefault="002A328E" w:rsidP="00561E06">
      <w:pPr>
        <w:pStyle w:val="EndNoteBibliography"/>
        <w:ind w:left="-426"/>
        <w:rPr>
          <w:szCs w:val="24"/>
        </w:rPr>
      </w:pPr>
      <w:r w:rsidRPr="002A328E">
        <w:rPr>
          <w:szCs w:val="24"/>
        </w:rPr>
        <w:t>1. Bhasin S, Brito JP, Cunningham GR, Hayes FJ, Hodis HN, Matsumoto AM, et al. Testosterone therapy in men with hypogonadism: an Endocrine Society clinical practice guideline. J Clin Endocrinol Metab. 2018;103(5):1715-44.</w:t>
      </w:r>
    </w:p>
    <w:p w14:paraId="31389B99" w14:textId="77777777" w:rsidR="002A328E" w:rsidRPr="002A328E" w:rsidRDefault="002A328E" w:rsidP="00561E06">
      <w:pPr>
        <w:pStyle w:val="EndNoteBibliography"/>
        <w:spacing w:after="0"/>
        <w:ind w:left="-426"/>
        <w:rPr>
          <w:szCs w:val="24"/>
        </w:rPr>
      </w:pPr>
    </w:p>
    <w:p w14:paraId="63B616B8" w14:textId="77777777" w:rsidR="002A328E" w:rsidRPr="002A328E" w:rsidRDefault="002A328E" w:rsidP="00561E06">
      <w:pPr>
        <w:pStyle w:val="EndNoteBibliography"/>
        <w:ind w:left="-426"/>
        <w:rPr>
          <w:szCs w:val="24"/>
        </w:rPr>
      </w:pPr>
      <w:r w:rsidRPr="002A328E">
        <w:rPr>
          <w:szCs w:val="24"/>
        </w:rPr>
        <w:t>2. Handelsman DJ. Androgen Physiology, Pharmacology, Use and Misuse. In: Feingold KR, Anawalt B, Boyce A, Chrousos G, de Herder WW, Dhatariya K, et al., editors. Endotext. South Dartmouth (MA): MDText.com, Inc. Copyright © 2000-2021, MDText.com, Inc.; 2000.</w:t>
      </w:r>
    </w:p>
    <w:p w14:paraId="5B927E63" w14:textId="77777777" w:rsidR="002A328E" w:rsidRPr="002A328E" w:rsidRDefault="002A328E" w:rsidP="00561E06">
      <w:pPr>
        <w:pStyle w:val="EndNoteBibliography"/>
        <w:spacing w:after="0"/>
        <w:ind w:left="-426"/>
        <w:rPr>
          <w:szCs w:val="24"/>
        </w:rPr>
      </w:pPr>
    </w:p>
    <w:p w14:paraId="1E078B3C" w14:textId="77777777" w:rsidR="002A328E" w:rsidRPr="002A328E" w:rsidRDefault="002A328E" w:rsidP="00561E06">
      <w:pPr>
        <w:pStyle w:val="EndNoteBibliography"/>
        <w:ind w:left="-426"/>
        <w:rPr>
          <w:szCs w:val="24"/>
        </w:rPr>
      </w:pPr>
      <w:r w:rsidRPr="002A328E">
        <w:rPr>
          <w:szCs w:val="24"/>
        </w:rPr>
        <w:t>3. Corona G, Goulis DG, Huhtaniemi I, Zitzmann M, Toppari J, Forti G, et al. European Academy of Andrology (EAA) guidelines on investigation, treatment and monitoring of functional hypogonadism in males: Endorsing organization: European Society of Endocrinology. Andrology. 2020;8(5):970-87.</w:t>
      </w:r>
    </w:p>
    <w:p w14:paraId="22754C86" w14:textId="77777777" w:rsidR="002A328E" w:rsidRPr="002A328E" w:rsidRDefault="002A328E" w:rsidP="00561E06">
      <w:pPr>
        <w:pStyle w:val="EndNoteBibliography"/>
        <w:spacing w:after="0"/>
        <w:ind w:left="-426"/>
        <w:rPr>
          <w:szCs w:val="24"/>
        </w:rPr>
      </w:pPr>
    </w:p>
    <w:p w14:paraId="09056E59" w14:textId="77777777" w:rsidR="002A328E" w:rsidRPr="002A328E" w:rsidRDefault="002A328E" w:rsidP="00561E06">
      <w:pPr>
        <w:pStyle w:val="EndNoteBibliography"/>
        <w:ind w:left="-426"/>
        <w:rPr>
          <w:szCs w:val="24"/>
        </w:rPr>
      </w:pPr>
      <w:r w:rsidRPr="002A328E">
        <w:rPr>
          <w:szCs w:val="24"/>
        </w:rPr>
        <w:t>4. Wu FC, Tajar A, Beynon JM, Pye SR, Silman AJ, Finn JD, et al. Identification of late-onset hypogonadism in middle-aged and elderly men. N Engl J Med. 2010;363(2):123-35.</w:t>
      </w:r>
    </w:p>
    <w:p w14:paraId="3067129E" w14:textId="77777777" w:rsidR="002A328E" w:rsidRPr="002A328E" w:rsidRDefault="002A328E" w:rsidP="00561E06">
      <w:pPr>
        <w:pStyle w:val="EndNoteBibliography"/>
        <w:spacing w:after="0"/>
        <w:ind w:left="-426"/>
        <w:rPr>
          <w:szCs w:val="24"/>
        </w:rPr>
      </w:pPr>
    </w:p>
    <w:p w14:paraId="7D41F968" w14:textId="77777777" w:rsidR="002A328E" w:rsidRPr="002A328E" w:rsidRDefault="002A328E" w:rsidP="00561E06">
      <w:pPr>
        <w:pStyle w:val="EndNoteBibliography"/>
        <w:ind w:left="-426"/>
        <w:rPr>
          <w:szCs w:val="24"/>
        </w:rPr>
      </w:pPr>
      <w:r w:rsidRPr="002A328E">
        <w:rPr>
          <w:szCs w:val="24"/>
        </w:rPr>
        <w:t>5. Feldman HA, Goldstein I, Hatzichristou DG, Krane RJ, McKinlay JB. Impotence and its medical and psychosocial correlates: results of the Massachusetts Male Aging Study. J Urol. 1994;151(1):54-61.</w:t>
      </w:r>
    </w:p>
    <w:p w14:paraId="670A0BF5" w14:textId="77777777" w:rsidR="002A328E" w:rsidRPr="002A328E" w:rsidRDefault="002A328E" w:rsidP="00561E06">
      <w:pPr>
        <w:pStyle w:val="EndNoteBibliography"/>
        <w:spacing w:after="0"/>
        <w:ind w:left="-426"/>
        <w:rPr>
          <w:szCs w:val="24"/>
        </w:rPr>
      </w:pPr>
    </w:p>
    <w:p w14:paraId="0779958B" w14:textId="77777777" w:rsidR="002A328E" w:rsidRPr="002A328E" w:rsidRDefault="002A328E" w:rsidP="00561E06">
      <w:pPr>
        <w:pStyle w:val="EndNoteBibliography"/>
        <w:ind w:left="-426"/>
        <w:rPr>
          <w:szCs w:val="24"/>
        </w:rPr>
      </w:pPr>
      <w:r w:rsidRPr="002A328E">
        <w:rPr>
          <w:szCs w:val="24"/>
        </w:rPr>
        <w:t>6. Bacon CG, Mittleman MA, Kawachi I, Giovannucci E, Glasser DB, Rimm EB. Sexual function in men older than 50 years of age: results from the health professionals follow-up study. Ann Intern Med. 2003;139(3):161-8.</w:t>
      </w:r>
    </w:p>
    <w:p w14:paraId="5E6A994F" w14:textId="77777777" w:rsidR="002A328E" w:rsidRPr="002A328E" w:rsidRDefault="002A328E" w:rsidP="00561E06">
      <w:pPr>
        <w:pStyle w:val="EndNoteBibliography"/>
        <w:spacing w:after="0"/>
        <w:ind w:left="-426"/>
        <w:rPr>
          <w:szCs w:val="24"/>
        </w:rPr>
      </w:pPr>
    </w:p>
    <w:p w14:paraId="3A886529" w14:textId="77777777" w:rsidR="002A328E" w:rsidRPr="002A328E" w:rsidRDefault="002A328E" w:rsidP="00561E06">
      <w:pPr>
        <w:pStyle w:val="EndNoteBibliography"/>
        <w:ind w:left="-426"/>
        <w:rPr>
          <w:szCs w:val="24"/>
        </w:rPr>
      </w:pPr>
      <w:r w:rsidRPr="002A328E">
        <w:rPr>
          <w:szCs w:val="24"/>
        </w:rPr>
        <w:t>7. Al-Sharefi A, Quinton R. Current national and international guidelines for the management of male hypogonadism: helping clinicians to navigate variation in diagnostic criteria and treatment recommendations. Endocrinol Metab (Seoul). 2020;35(3):526-40.</w:t>
      </w:r>
    </w:p>
    <w:p w14:paraId="1D9D9A3B" w14:textId="77777777" w:rsidR="002A328E" w:rsidRPr="002A328E" w:rsidRDefault="002A328E" w:rsidP="00561E06">
      <w:pPr>
        <w:pStyle w:val="EndNoteBibliography"/>
        <w:spacing w:after="0"/>
        <w:ind w:left="-426"/>
        <w:rPr>
          <w:szCs w:val="24"/>
        </w:rPr>
      </w:pPr>
    </w:p>
    <w:p w14:paraId="42329616" w14:textId="77777777" w:rsidR="002A328E" w:rsidRPr="002A328E" w:rsidRDefault="002A328E" w:rsidP="00561E06">
      <w:pPr>
        <w:pStyle w:val="EndNoteBibliography"/>
        <w:ind w:left="-426"/>
        <w:rPr>
          <w:szCs w:val="24"/>
        </w:rPr>
      </w:pPr>
      <w:r w:rsidRPr="002A328E">
        <w:rPr>
          <w:szCs w:val="24"/>
        </w:rPr>
        <w:t>8. Kwong JCC, Krakowsky Y, Grober E. Testosterone deficiency: a review and comparison of current guidelines. J Sex Med. 2019;16(6):812-20.</w:t>
      </w:r>
    </w:p>
    <w:p w14:paraId="29B49CDD" w14:textId="77777777" w:rsidR="002A328E" w:rsidRPr="002A328E" w:rsidRDefault="002A328E" w:rsidP="00561E06">
      <w:pPr>
        <w:pStyle w:val="EndNoteBibliography"/>
        <w:spacing w:after="0"/>
        <w:ind w:left="-426"/>
        <w:rPr>
          <w:szCs w:val="24"/>
        </w:rPr>
      </w:pPr>
    </w:p>
    <w:p w14:paraId="10F2A015" w14:textId="77777777" w:rsidR="002A328E" w:rsidRPr="002A328E" w:rsidRDefault="002A328E" w:rsidP="00561E06">
      <w:pPr>
        <w:pStyle w:val="EndNoteBibliography"/>
        <w:ind w:left="-426"/>
        <w:rPr>
          <w:szCs w:val="24"/>
        </w:rPr>
      </w:pPr>
      <w:r w:rsidRPr="002A328E">
        <w:rPr>
          <w:szCs w:val="24"/>
        </w:rPr>
        <w:t>9. Rosen RC, Wu F, Behre HM, Porst H, Meuleman EJH, Maggi M, et al. Quality of life and sexual function benefits of long-term testosterone treatment: longitudinal results from the Registry of Hypogonadism in Men (RHYME). J Sex Med. 2017;14(9):1104-15.</w:t>
      </w:r>
    </w:p>
    <w:p w14:paraId="46F3F848" w14:textId="77777777" w:rsidR="002A328E" w:rsidRPr="002A328E" w:rsidRDefault="002A328E" w:rsidP="00561E06">
      <w:pPr>
        <w:pStyle w:val="EndNoteBibliography"/>
        <w:spacing w:after="0"/>
        <w:ind w:left="-426"/>
        <w:rPr>
          <w:szCs w:val="24"/>
        </w:rPr>
      </w:pPr>
    </w:p>
    <w:p w14:paraId="1888B3E8" w14:textId="77777777" w:rsidR="002A328E" w:rsidRPr="002A328E" w:rsidRDefault="002A328E" w:rsidP="00561E06">
      <w:pPr>
        <w:pStyle w:val="EndNoteBibliography"/>
        <w:ind w:left="-426"/>
        <w:rPr>
          <w:szCs w:val="24"/>
        </w:rPr>
      </w:pPr>
      <w:r w:rsidRPr="002A328E">
        <w:rPr>
          <w:szCs w:val="24"/>
        </w:rPr>
        <w:t>10. Travison TG, Vesper HW, Orwoll E, Wu F, Kaufman JM, Wang Y, et al. Harmonized reference ranges for circulating testosterone levels in men of four cohort studies in the United States and Europe. J Clin Endocrinol Metab. 2017;102(4):1161-73.</w:t>
      </w:r>
    </w:p>
    <w:p w14:paraId="4F6A8546" w14:textId="77777777" w:rsidR="002A328E" w:rsidRPr="002A328E" w:rsidRDefault="002A328E" w:rsidP="00561E06">
      <w:pPr>
        <w:pStyle w:val="EndNoteBibliography"/>
        <w:spacing w:after="0"/>
        <w:ind w:left="-426"/>
        <w:rPr>
          <w:szCs w:val="24"/>
        </w:rPr>
      </w:pPr>
    </w:p>
    <w:p w14:paraId="4487BEE6" w14:textId="77777777" w:rsidR="002A328E" w:rsidRPr="002A328E" w:rsidRDefault="002A328E" w:rsidP="00561E06">
      <w:pPr>
        <w:pStyle w:val="EndNoteBibliography"/>
        <w:ind w:left="-426"/>
        <w:rPr>
          <w:szCs w:val="24"/>
        </w:rPr>
      </w:pPr>
      <w:r w:rsidRPr="002A328E">
        <w:rPr>
          <w:szCs w:val="24"/>
        </w:rPr>
        <w:t>11. Snyder PJ, Bhasin S, Cunningham GR, Matsumoto AM, Stephens-Shields AJ, Cauley JA, et al. Effects of testosterone treatment in older men. N Engl J Med. 2016;374(7):611-24.</w:t>
      </w:r>
    </w:p>
    <w:p w14:paraId="26B349AF" w14:textId="77777777" w:rsidR="002A328E" w:rsidRPr="002A328E" w:rsidRDefault="002A328E" w:rsidP="00561E06">
      <w:pPr>
        <w:pStyle w:val="EndNoteBibliography"/>
        <w:spacing w:after="0"/>
        <w:ind w:left="-426"/>
        <w:rPr>
          <w:szCs w:val="24"/>
        </w:rPr>
      </w:pPr>
    </w:p>
    <w:p w14:paraId="471E8708" w14:textId="77777777" w:rsidR="002A328E" w:rsidRPr="002A328E" w:rsidRDefault="002A328E" w:rsidP="00561E06">
      <w:pPr>
        <w:pStyle w:val="EndNoteBibliography"/>
        <w:ind w:left="-426"/>
        <w:rPr>
          <w:szCs w:val="24"/>
        </w:rPr>
      </w:pPr>
      <w:r w:rsidRPr="002A328E">
        <w:rPr>
          <w:szCs w:val="24"/>
        </w:rPr>
        <w:t>12. Basaria S, Coviello AD, Travison TG, Storer TW, Farwell WR, Jette AM, et al. Adverse events associated with testosterone administration. N Engl J Med. 2010;363(2):109-22.</w:t>
      </w:r>
    </w:p>
    <w:p w14:paraId="792F0A2E" w14:textId="77777777" w:rsidR="002A328E" w:rsidRPr="002A328E" w:rsidRDefault="002A328E" w:rsidP="00561E06">
      <w:pPr>
        <w:pStyle w:val="EndNoteBibliography"/>
        <w:spacing w:after="0"/>
        <w:ind w:left="-426"/>
        <w:rPr>
          <w:szCs w:val="24"/>
        </w:rPr>
      </w:pPr>
    </w:p>
    <w:p w14:paraId="1CA68378" w14:textId="77777777" w:rsidR="002A328E" w:rsidRPr="002A328E" w:rsidRDefault="002A328E" w:rsidP="00561E06">
      <w:pPr>
        <w:pStyle w:val="EndNoteBibliography"/>
        <w:ind w:left="-426"/>
        <w:rPr>
          <w:szCs w:val="24"/>
        </w:rPr>
      </w:pPr>
      <w:r w:rsidRPr="002A328E">
        <w:rPr>
          <w:szCs w:val="24"/>
        </w:rPr>
        <w:t>13. Gan EH, Pattman S, S HSP, Quinton R. A UK epidemic of testosterone prescribing, 2001-2010. Clin Endocrinol (Oxf). 2013;79(4):564-70.</w:t>
      </w:r>
    </w:p>
    <w:p w14:paraId="3B0E56B4" w14:textId="77777777" w:rsidR="002A328E" w:rsidRPr="002A328E" w:rsidRDefault="002A328E" w:rsidP="00561E06">
      <w:pPr>
        <w:pStyle w:val="EndNoteBibliography"/>
        <w:spacing w:after="0"/>
        <w:ind w:left="-426"/>
        <w:rPr>
          <w:szCs w:val="24"/>
        </w:rPr>
      </w:pPr>
    </w:p>
    <w:p w14:paraId="30211580" w14:textId="77777777" w:rsidR="002A328E" w:rsidRPr="002A328E" w:rsidRDefault="002A328E" w:rsidP="00561E06">
      <w:pPr>
        <w:pStyle w:val="EndNoteBibliography"/>
        <w:ind w:left="-426"/>
        <w:rPr>
          <w:szCs w:val="24"/>
        </w:rPr>
      </w:pPr>
      <w:r w:rsidRPr="002A328E">
        <w:rPr>
          <w:szCs w:val="24"/>
        </w:rPr>
        <w:t>14. Sansone A, Sansone M, Lenzi A, Romanelli F. Testosterone replacement therapy: the Emperor's new clothes. Rejuvenation Res. 2017;20(1):9-14.</w:t>
      </w:r>
    </w:p>
    <w:p w14:paraId="0042AEBD" w14:textId="77777777" w:rsidR="002A328E" w:rsidRPr="002A328E" w:rsidRDefault="002A328E" w:rsidP="00561E06">
      <w:pPr>
        <w:pStyle w:val="EndNoteBibliography"/>
        <w:spacing w:after="0"/>
        <w:ind w:left="-426"/>
        <w:rPr>
          <w:szCs w:val="24"/>
        </w:rPr>
      </w:pPr>
    </w:p>
    <w:p w14:paraId="193636F8" w14:textId="681366A7" w:rsidR="002A328E" w:rsidRPr="002A328E" w:rsidRDefault="002A328E" w:rsidP="00561E06">
      <w:pPr>
        <w:pStyle w:val="EndNoteBibliography"/>
        <w:ind w:left="-426"/>
        <w:rPr>
          <w:szCs w:val="24"/>
        </w:rPr>
      </w:pPr>
      <w:r w:rsidRPr="002A328E">
        <w:rPr>
          <w:szCs w:val="24"/>
        </w:rPr>
        <w:t xml:space="preserve">15. NHS England. The 'male menopause' 2019. Available from: </w:t>
      </w:r>
      <w:r w:rsidRPr="00E038D5">
        <w:rPr>
          <w:szCs w:val="24"/>
        </w:rPr>
        <w:t>https://www.nhs.uk/conditions/male-menopause/</w:t>
      </w:r>
      <w:r w:rsidRPr="002A328E">
        <w:rPr>
          <w:szCs w:val="24"/>
        </w:rPr>
        <w:t xml:space="preserve"> (Accessed 7 May 2021).</w:t>
      </w:r>
    </w:p>
    <w:p w14:paraId="4FE78550" w14:textId="77777777" w:rsidR="002A328E" w:rsidRPr="002A328E" w:rsidRDefault="002A328E" w:rsidP="00561E06">
      <w:pPr>
        <w:pStyle w:val="EndNoteBibliography"/>
        <w:spacing w:after="0"/>
        <w:ind w:left="-426"/>
        <w:rPr>
          <w:szCs w:val="24"/>
        </w:rPr>
      </w:pPr>
    </w:p>
    <w:p w14:paraId="7FF21F43" w14:textId="62D7DE57" w:rsidR="002A328E" w:rsidRPr="002A328E" w:rsidRDefault="002A328E" w:rsidP="00561E06">
      <w:pPr>
        <w:pStyle w:val="EndNoteBibliography"/>
        <w:ind w:left="-426"/>
        <w:rPr>
          <w:szCs w:val="24"/>
        </w:rPr>
      </w:pPr>
      <w:r w:rsidRPr="002A328E">
        <w:rPr>
          <w:szCs w:val="24"/>
        </w:rPr>
        <w:t xml:space="preserve">16. Food and Drug Administration. FDA Drug Safety Communication: FDA cautions about using testosterone products for low testosterone due to aging; requires labeling change to inform of possible increased risk of heart attack and stroke with use 2015. Available from: </w:t>
      </w:r>
      <w:r w:rsidRPr="00E038D5">
        <w:rPr>
          <w:szCs w:val="24"/>
        </w:rPr>
        <w:t>https://www.fda.gov/media/91048/download</w:t>
      </w:r>
      <w:r w:rsidRPr="002A328E">
        <w:rPr>
          <w:szCs w:val="24"/>
        </w:rPr>
        <w:t xml:space="preserve"> (Accessed 7 May 2021).</w:t>
      </w:r>
    </w:p>
    <w:p w14:paraId="06A65184" w14:textId="77777777" w:rsidR="002A328E" w:rsidRPr="002A328E" w:rsidRDefault="002A328E" w:rsidP="00561E06">
      <w:pPr>
        <w:pStyle w:val="EndNoteBibliography"/>
        <w:spacing w:after="0"/>
        <w:ind w:left="-426"/>
        <w:rPr>
          <w:szCs w:val="24"/>
        </w:rPr>
      </w:pPr>
    </w:p>
    <w:p w14:paraId="3591F851" w14:textId="77777777" w:rsidR="002A328E" w:rsidRPr="002A328E" w:rsidRDefault="002A328E" w:rsidP="00561E06">
      <w:pPr>
        <w:pStyle w:val="EndNoteBibliography"/>
        <w:ind w:left="-426"/>
        <w:rPr>
          <w:szCs w:val="24"/>
        </w:rPr>
      </w:pPr>
      <w:r w:rsidRPr="002A328E">
        <w:rPr>
          <w:szCs w:val="24"/>
        </w:rPr>
        <w:t>17. Fernández-Balsells MM, Murad MH, Lane M, Lampropulos JF, Albuquerque F, Mullan RJ, et al. Clinical review 1: Adverse effects of testosterone therapy in adult men: a systematic review and meta-analysis. J Clin Endocrinol Metab. 2010;95(6):2560-75.</w:t>
      </w:r>
    </w:p>
    <w:p w14:paraId="3BEFFA37" w14:textId="77777777" w:rsidR="002A328E" w:rsidRPr="002A328E" w:rsidRDefault="002A328E" w:rsidP="00561E06">
      <w:pPr>
        <w:pStyle w:val="EndNoteBibliography"/>
        <w:spacing w:after="0"/>
        <w:ind w:left="-426"/>
        <w:rPr>
          <w:szCs w:val="24"/>
        </w:rPr>
      </w:pPr>
    </w:p>
    <w:p w14:paraId="005EF211" w14:textId="77777777" w:rsidR="002A328E" w:rsidRPr="002A328E" w:rsidRDefault="002A328E" w:rsidP="00561E06">
      <w:pPr>
        <w:pStyle w:val="EndNoteBibliography"/>
        <w:ind w:left="-426"/>
        <w:rPr>
          <w:szCs w:val="24"/>
        </w:rPr>
      </w:pPr>
      <w:r w:rsidRPr="002A328E">
        <w:rPr>
          <w:szCs w:val="24"/>
        </w:rPr>
        <w:t>18. Xu L, Freeman G, Cowling BJ, Schooling CM. Testosterone therapy and cardiovascular events among men: a systematic review and meta-analysis of placebo-controlled randomized trials. BMC Med. 2013;11:108.</w:t>
      </w:r>
    </w:p>
    <w:p w14:paraId="557920BC" w14:textId="77777777" w:rsidR="002A328E" w:rsidRPr="002A328E" w:rsidRDefault="002A328E" w:rsidP="00561E06">
      <w:pPr>
        <w:pStyle w:val="EndNoteBibliography"/>
        <w:spacing w:after="0"/>
        <w:ind w:left="-426"/>
        <w:rPr>
          <w:szCs w:val="24"/>
        </w:rPr>
      </w:pPr>
    </w:p>
    <w:p w14:paraId="22E9ACBC" w14:textId="77777777" w:rsidR="002A328E" w:rsidRPr="002A328E" w:rsidRDefault="002A328E" w:rsidP="00561E06">
      <w:pPr>
        <w:pStyle w:val="EndNoteBibliography"/>
        <w:ind w:left="-426"/>
        <w:rPr>
          <w:szCs w:val="24"/>
        </w:rPr>
      </w:pPr>
      <w:r w:rsidRPr="002A328E">
        <w:rPr>
          <w:szCs w:val="24"/>
        </w:rPr>
        <w:t>19. Corona G, Maseroli E, Rastrelli G, Isidori AM, Sforza A, Mannucci E, et al. Cardiovascular risk associated with testosterone-boosting medications: a systematic review and meta-analysis. Expert Opin Drug Saf. 2014;13(10):1327-51.</w:t>
      </w:r>
    </w:p>
    <w:p w14:paraId="79946164" w14:textId="77777777" w:rsidR="002A328E" w:rsidRPr="002A328E" w:rsidRDefault="002A328E" w:rsidP="00561E06">
      <w:pPr>
        <w:pStyle w:val="EndNoteBibliography"/>
        <w:spacing w:after="0"/>
        <w:ind w:left="-426"/>
        <w:rPr>
          <w:szCs w:val="24"/>
        </w:rPr>
      </w:pPr>
    </w:p>
    <w:p w14:paraId="4C6922E7" w14:textId="77777777" w:rsidR="002A328E" w:rsidRPr="002A328E" w:rsidRDefault="002A328E" w:rsidP="00561E06">
      <w:pPr>
        <w:pStyle w:val="EndNoteBibliography"/>
        <w:ind w:left="-426"/>
        <w:rPr>
          <w:szCs w:val="24"/>
        </w:rPr>
      </w:pPr>
      <w:r w:rsidRPr="002A328E">
        <w:rPr>
          <w:szCs w:val="24"/>
        </w:rPr>
        <w:t>20. Borst SE, Shuster JJ, Zou B, Ye F, Jia H, Wokhlu A, et al. Cardiovascular risks and elevation of serum DHT vary by route of testosterone administration: a systematic review and meta-analysis. BMC Med. 2014;12:211.</w:t>
      </w:r>
    </w:p>
    <w:p w14:paraId="786CCF35" w14:textId="77777777" w:rsidR="002A328E" w:rsidRPr="002A328E" w:rsidRDefault="002A328E" w:rsidP="00561E06">
      <w:pPr>
        <w:pStyle w:val="EndNoteBibliography"/>
        <w:spacing w:after="0"/>
        <w:ind w:left="-426"/>
        <w:rPr>
          <w:szCs w:val="24"/>
        </w:rPr>
      </w:pPr>
    </w:p>
    <w:p w14:paraId="0156158D" w14:textId="77777777" w:rsidR="002A328E" w:rsidRPr="002A328E" w:rsidRDefault="002A328E" w:rsidP="00561E06">
      <w:pPr>
        <w:pStyle w:val="EndNoteBibliography"/>
        <w:ind w:left="-426"/>
        <w:rPr>
          <w:szCs w:val="24"/>
        </w:rPr>
      </w:pPr>
      <w:r w:rsidRPr="002A328E">
        <w:rPr>
          <w:szCs w:val="24"/>
        </w:rPr>
        <w:t>21. Seftel AD, Kathrins M, Niederberger C. Critical update of the 2010 Endocrine Society clinical practice guidelines for male hypogonadism: a systematic analysis. Mayo Clin Proc. 2015;90(8):1104-15.</w:t>
      </w:r>
    </w:p>
    <w:p w14:paraId="5E8567E9" w14:textId="77777777" w:rsidR="002A328E" w:rsidRPr="002A328E" w:rsidRDefault="002A328E" w:rsidP="00561E06">
      <w:pPr>
        <w:pStyle w:val="EndNoteBibliography"/>
        <w:spacing w:after="0"/>
        <w:ind w:left="-426"/>
        <w:rPr>
          <w:szCs w:val="24"/>
        </w:rPr>
      </w:pPr>
    </w:p>
    <w:p w14:paraId="3EF03D7F" w14:textId="77777777" w:rsidR="002A328E" w:rsidRPr="002A328E" w:rsidRDefault="002A328E" w:rsidP="00561E06">
      <w:pPr>
        <w:pStyle w:val="EndNoteBibliography"/>
        <w:ind w:left="-426"/>
        <w:rPr>
          <w:szCs w:val="24"/>
        </w:rPr>
      </w:pPr>
      <w:r w:rsidRPr="002A328E">
        <w:rPr>
          <w:szCs w:val="24"/>
        </w:rPr>
        <w:t>22. Albert SG, Morley JE. Testosterone therapy, association with age, initiation and mode of therapy with cardiovascular events: a systematic review. Clin Endocrinol (Oxf). 2016;85(3):436-43.</w:t>
      </w:r>
    </w:p>
    <w:p w14:paraId="21740D00" w14:textId="77777777" w:rsidR="002A328E" w:rsidRPr="002A328E" w:rsidRDefault="002A328E" w:rsidP="00561E06">
      <w:pPr>
        <w:pStyle w:val="EndNoteBibliography"/>
        <w:spacing w:after="0"/>
        <w:ind w:left="-426"/>
        <w:rPr>
          <w:szCs w:val="24"/>
        </w:rPr>
      </w:pPr>
    </w:p>
    <w:p w14:paraId="7C2386FF" w14:textId="77777777" w:rsidR="002A328E" w:rsidRPr="002A328E" w:rsidRDefault="002A328E" w:rsidP="00561E06">
      <w:pPr>
        <w:pStyle w:val="EndNoteBibliography"/>
        <w:ind w:left="-426"/>
        <w:rPr>
          <w:szCs w:val="24"/>
        </w:rPr>
      </w:pPr>
      <w:r w:rsidRPr="002A328E">
        <w:rPr>
          <w:szCs w:val="24"/>
        </w:rPr>
        <w:t>23. Guo C, Gu W, Liu M, Peng BO, Yao X, Yang B, et al. Efficacy and safety of testosterone replacement therapy in men with hypogonadism: A meta-analysis study of placebo-controlled trials. Exp Ther Med. 2016;11(3):853-63.</w:t>
      </w:r>
    </w:p>
    <w:p w14:paraId="79FEE835" w14:textId="77777777" w:rsidR="002A328E" w:rsidRPr="002A328E" w:rsidRDefault="002A328E" w:rsidP="00561E06">
      <w:pPr>
        <w:pStyle w:val="EndNoteBibliography"/>
        <w:spacing w:after="0"/>
        <w:ind w:left="-426"/>
        <w:rPr>
          <w:szCs w:val="24"/>
        </w:rPr>
      </w:pPr>
    </w:p>
    <w:p w14:paraId="431F37F5" w14:textId="77777777" w:rsidR="002A328E" w:rsidRPr="002A328E" w:rsidRDefault="002A328E" w:rsidP="00561E06">
      <w:pPr>
        <w:pStyle w:val="EndNoteBibliography"/>
        <w:ind w:left="-426"/>
        <w:rPr>
          <w:szCs w:val="24"/>
        </w:rPr>
      </w:pPr>
      <w:r w:rsidRPr="002A328E">
        <w:rPr>
          <w:szCs w:val="24"/>
        </w:rPr>
        <w:t>24. Huo S, Scialli AR, McGarvey S, Hill E, Tügertimur B, Hogenmiller A, et al. Treatment of men for "low testosterone": a systematic review. PLoS One. 2016;11(9):e0162480.</w:t>
      </w:r>
    </w:p>
    <w:p w14:paraId="1FB291D7" w14:textId="77777777" w:rsidR="002A328E" w:rsidRPr="002A328E" w:rsidRDefault="002A328E" w:rsidP="00561E06">
      <w:pPr>
        <w:pStyle w:val="EndNoteBibliography"/>
        <w:spacing w:after="0"/>
        <w:ind w:left="-426"/>
        <w:rPr>
          <w:szCs w:val="24"/>
        </w:rPr>
      </w:pPr>
    </w:p>
    <w:p w14:paraId="2091A4CC" w14:textId="77777777" w:rsidR="002A328E" w:rsidRPr="002A328E" w:rsidRDefault="002A328E" w:rsidP="00561E06">
      <w:pPr>
        <w:pStyle w:val="EndNoteBibliography"/>
        <w:ind w:left="-426"/>
        <w:rPr>
          <w:szCs w:val="24"/>
        </w:rPr>
      </w:pPr>
      <w:r w:rsidRPr="002A328E">
        <w:rPr>
          <w:szCs w:val="24"/>
        </w:rPr>
        <w:t>25. Corona G, Rastrelli G, Morgentaler A, Sforza A, Mannucci E, Maggi M. Meta-analysis of Results of Testosterone Therapy on Sexual Function Based on International Index of Erectile Function Scores. Eur Urol. 2017;72(6):1000-11.</w:t>
      </w:r>
    </w:p>
    <w:p w14:paraId="0E6BE8B9" w14:textId="77777777" w:rsidR="002A328E" w:rsidRPr="002A328E" w:rsidRDefault="002A328E" w:rsidP="00561E06">
      <w:pPr>
        <w:pStyle w:val="EndNoteBibliography"/>
        <w:spacing w:after="0"/>
        <w:ind w:left="-426"/>
        <w:rPr>
          <w:szCs w:val="24"/>
        </w:rPr>
      </w:pPr>
    </w:p>
    <w:p w14:paraId="5CCBC70A" w14:textId="77777777" w:rsidR="002A328E" w:rsidRPr="002A328E" w:rsidRDefault="002A328E" w:rsidP="00561E06">
      <w:pPr>
        <w:pStyle w:val="EndNoteBibliography"/>
        <w:ind w:left="-426"/>
        <w:rPr>
          <w:szCs w:val="24"/>
        </w:rPr>
      </w:pPr>
      <w:r w:rsidRPr="002A328E">
        <w:rPr>
          <w:szCs w:val="24"/>
        </w:rPr>
        <w:t>26. Alexander GC, Iyer G, Lucas E, Lin D, Singh S. Cardiovascular risks of exogenous testosterone use among men: a systematic review and meta-analysis. Am J Med. 2017;130(3):293-305.</w:t>
      </w:r>
    </w:p>
    <w:p w14:paraId="109FAF90" w14:textId="77777777" w:rsidR="002A328E" w:rsidRPr="002A328E" w:rsidRDefault="002A328E" w:rsidP="00561E06">
      <w:pPr>
        <w:pStyle w:val="EndNoteBibliography"/>
        <w:spacing w:after="0"/>
        <w:ind w:left="-426"/>
        <w:rPr>
          <w:szCs w:val="24"/>
        </w:rPr>
      </w:pPr>
    </w:p>
    <w:p w14:paraId="591EF47D" w14:textId="77777777" w:rsidR="002A328E" w:rsidRPr="002A328E" w:rsidRDefault="002A328E" w:rsidP="00561E06">
      <w:pPr>
        <w:pStyle w:val="EndNoteBibliography"/>
        <w:ind w:left="-426"/>
        <w:rPr>
          <w:szCs w:val="24"/>
        </w:rPr>
      </w:pPr>
      <w:r w:rsidRPr="002A328E">
        <w:rPr>
          <w:szCs w:val="24"/>
        </w:rPr>
        <w:t>27. Szeinbach SL, Seoane-Vazquez E, Summers KH. Development of a men's Preference for Testosterone Replacement Therapy (P-TRT) instrument. Patient Prefer Adherence. 2012;6:631-41.</w:t>
      </w:r>
    </w:p>
    <w:p w14:paraId="13963CB3" w14:textId="77777777" w:rsidR="002A328E" w:rsidRPr="002A328E" w:rsidRDefault="002A328E" w:rsidP="00561E06">
      <w:pPr>
        <w:pStyle w:val="EndNoteBibliography"/>
        <w:spacing w:after="0"/>
        <w:ind w:left="-426"/>
        <w:rPr>
          <w:szCs w:val="24"/>
        </w:rPr>
      </w:pPr>
    </w:p>
    <w:p w14:paraId="05A357FA" w14:textId="77777777" w:rsidR="002A328E" w:rsidRPr="002A328E" w:rsidRDefault="002A328E" w:rsidP="00561E06">
      <w:pPr>
        <w:pStyle w:val="EndNoteBibliography"/>
        <w:ind w:left="-426"/>
        <w:rPr>
          <w:szCs w:val="24"/>
        </w:rPr>
      </w:pPr>
      <w:r w:rsidRPr="002A328E">
        <w:rPr>
          <w:szCs w:val="24"/>
        </w:rPr>
        <w:t>28. Mascarenhas A, Khan S, Sayal R, Knowles S, Gomes T, Moore JE. Factors that may be influencing the rise in prescription testosterone replacement therapy in adult men: a qualitative study. Aging Male. 2016;19(2):90-5.</w:t>
      </w:r>
    </w:p>
    <w:p w14:paraId="6672C718" w14:textId="77777777" w:rsidR="002A328E" w:rsidRPr="002A328E" w:rsidRDefault="002A328E" w:rsidP="00561E06">
      <w:pPr>
        <w:pStyle w:val="EndNoteBibliography"/>
        <w:spacing w:after="0"/>
        <w:ind w:left="-426"/>
        <w:rPr>
          <w:szCs w:val="24"/>
        </w:rPr>
      </w:pPr>
    </w:p>
    <w:p w14:paraId="5C4CC32D" w14:textId="77777777" w:rsidR="002A328E" w:rsidRPr="002A328E" w:rsidRDefault="002A328E" w:rsidP="00561E06">
      <w:pPr>
        <w:pStyle w:val="EndNoteBibliography"/>
        <w:ind w:left="-426"/>
        <w:rPr>
          <w:szCs w:val="24"/>
        </w:rPr>
      </w:pPr>
      <w:r w:rsidRPr="002A328E">
        <w:rPr>
          <w:szCs w:val="24"/>
        </w:rPr>
        <w:t>29. Dunning TL, Ward GM. Testosterone replacement therapy--perceptions of recipients and partners. J Adv Nurs. 2004;47(5):467-74.</w:t>
      </w:r>
    </w:p>
    <w:p w14:paraId="07E87EED" w14:textId="77777777" w:rsidR="002A328E" w:rsidRPr="002A328E" w:rsidRDefault="002A328E" w:rsidP="00561E06">
      <w:pPr>
        <w:pStyle w:val="EndNoteBibliography"/>
        <w:spacing w:after="0"/>
        <w:ind w:left="-426"/>
        <w:rPr>
          <w:szCs w:val="24"/>
        </w:rPr>
      </w:pPr>
    </w:p>
    <w:p w14:paraId="7D59FAF3" w14:textId="77777777" w:rsidR="002A328E" w:rsidRPr="002A328E" w:rsidRDefault="002A328E" w:rsidP="00561E06">
      <w:pPr>
        <w:pStyle w:val="EndNoteBibliography"/>
        <w:ind w:left="-426"/>
        <w:rPr>
          <w:szCs w:val="24"/>
        </w:rPr>
      </w:pPr>
      <w:r w:rsidRPr="002A328E">
        <w:rPr>
          <w:szCs w:val="24"/>
        </w:rPr>
        <w:t>30. Hackett G, Kirby M, Edwards D, Jones TH, Wylie K, Ossei-Gerning N, et al. British Society for Sexual Medicine guidelines on adult testosterone deficiency, with statements for UK practice. J Sex Med. 2017;14(12):1504-23.</w:t>
      </w:r>
    </w:p>
    <w:p w14:paraId="7FFD2699" w14:textId="77777777" w:rsidR="002A328E" w:rsidRPr="002A328E" w:rsidRDefault="002A328E" w:rsidP="00561E06">
      <w:pPr>
        <w:pStyle w:val="EndNoteBibliography"/>
        <w:spacing w:after="0"/>
        <w:ind w:left="-426"/>
        <w:rPr>
          <w:szCs w:val="24"/>
        </w:rPr>
      </w:pPr>
    </w:p>
    <w:p w14:paraId="2DBEB232" w14:textId="77777777" w:rsidR="002A328E" w:rsidRPr="002A328E" w:rsidRDefault="002A328E" w:rsidP="00561E06">
      <w:pPr>
        <w:pStyle w:val="EndNoteBibliography"/>
        <w:ind w:left="-426"/>
        <w:rPr>
          <w:szCs w:val="24"/>
        </w:rPr>
      </w:pPr>
      <w:r w:rsidRPr="002A328E">
        <w:rPr>
          <w:szCs w:val="24"/>
        </w:rPr>
        <w:t>31. Bhasin S, Cunningham GR, Hayes FJ, Matsumoto AM, Snyder PJ, Swerdloff RS, et al. Testosterone therapy in men with androgen deficiency syndromes: an Endocrine Society clinical practice guideline. J Clin Endocrinol Metab. 2010;95(6):2536-59.</w:t>
      </w:r>
    </w:p>
    <w:p w14:paraId="07C6F053" w14:textId="77777777" w:rsidR="002A328E" w:rsidRPr="002A328E" w:rsidRDefault="002A328E" w:rsidP="00561E06">
      <w:pPr>
        <w:pStyle w:val="EndNoteBibliography"/>
        <w:spacing w:after="0"/>
        <w:ind w:left="-426"/>
        <w:rPr>
          <w:szCs w:val="24"/>
        </w:rPr>
      </w:pPr>
    </w:p>
    <w:p w14:paraId="75FE508E" w14:textId="77777777" w:rsidR="002A328E" w:rsidRPr="002A328E" w:rsidRDefault="002A328E" w:rsidP="00561E06">
      <w:pPr>
        <w:pStyle w:val="EndNoteBibliography"/>
        <w:ind w:left="-426"/>
        <w:rPr>
          <w:szCs w:val="24"/>
        </w:rPr>
      </w:pPr>
      <w:r w:rsidRPr="002A328E">
        <w:rPr>
          <w:szCs w:val="24"/>
        </w:rPr>
        <w:t>32. Hicks KA, Mahaffey KW, Mehran R, Nissen SE, Wiviott SD, Dunn B, et al. 2017 Cardiovascular and stroke endpoint definitions for clinical trials. J Am Coll Cardiol. 2018;71(9):1021-34.</w:t>
      </w:r>
    </w:p>
    <w:p w14:paraId="38653E77" w14:textId="77777777" w:rsidR="002A328E" w:rsidRPr="002A328E" w:rsidRDefault="002A328E" w:rsidP="00561E06">
      <w:pPr>
        <w:pStyle w:val="EndNoteBibliography"/>
        <w:spacing w:after="0"/>
        <w:ind w:left="-426"/>
        <w:rPr>
          <w:szCs w:val="24"/>
        </w:rPr>
      </w:pPr>
    </w:p>
    <w:p w14:paraId="1F1A1DD8" w14:textId="77777777" w:rsidR="002A328E" w:rsidRPr="002A328E" w:rsidRDefault="002A328E" w:rsidP="00561E06">
      <w:pPr>
        <w:pStyle w:val="EndNoteBibliography"/>
        <w:ind w:left="-426"/>
        <w:rPr>
          <w:szCs w:val="24"/>
        </w:rPr>
      </w:pPr>
      <w:r w:rsidRPr="002A328E">
        <w:rPr>
          <w:szCs w:val="24"/>
        </w:rPr>
        <w:t>33. StataCorp. Stata Statistical Software: Release 16. College Station, TX: StataCorp LLC; 2019.</w:t>
      </w:r>
    </w:p>
    <w:p w14:paraId="47F7AD4D" w14:textId="77777777" w:rsidR="002A328E" w:rsidRPr="002A328E" w:rsidRDefault="002A328E" w:rsidP="00561E06">
      <w:pPr>
        <w:pStyle w:val="EndNoteBibliography"/>
        <w:spacing w:after="0"/>
        <w:ind w:left="-426"/>
        <w:rPr>
          <w:szCs w:val="24"/>
        </w:rPr>
      </w:pPr>
    </w:p>
    <w:p w14:paraId="03C047E8" w14:textId="415D113B" w:rsidR="002A328E" w:rsidRPr="002A328E" w:rsidRDefault="002A328E" w:rsidP="00561E06">
      <w:pPr>
        <w:pStyle w:val="EndNoteBibliography"/>
        <w:ind w:left="-426"/>
        <w:rPr>
          <w:szCs w:val="24"/>
        </w:rPr>
      </w:pPr>
      <w:r w:rsidRPr="002A328E">
        <w:rPr>
          <w:szCs w:val="24"/>
        </w:rPr>
        <w:t xml:space="preserve">34. Higgins JP, Green S. Cochrane Handbook for Systematic Reviews of Interventions Version 5.1.0: 2011. Available from: </w:t>
      </w:r>
      <w:r w:rsidRPr="00E038D5">
        <w:rPr>
          <w:szCs w:val="24"/>
        </w:rPr>
        <w:t>http://handbook-5-1.cochrane.org/</w:t>
      </w:r>
      <w:r w:rsidRPr="002A328E">
        <w:rPr>
          <w:szCs w:val="24"/>
        </w:rPr>
        <w:t>.</w:t>
      </w:r>
      <w:r w:rsidR="00D73245">
        <w:rPr>
          <w:szCs w:val="24"/>
        </w:rPr>
        <w:t xml:space="preserve"> (Accessed 29 April 2021)</w:t>
      </w:r>
    </w:p>
    <w:p w14:paraId="02933619" w14:textId="77777777" w:rsidR="002A328E" w:rsidRPr="002A328E" w:rsidRDefault="002A328E" w:rsidP="00561E06">
      <w:pPr>
        <w:pStyle w:val="EndNoteBibliography"/>
        <w:spacing w:after="0"/>
        <w:ind w:left="-426"/>
        <w:rPr>
          <w:szCs w:val="24"/>
        </w:rPr>
      </w:pPr>
    </w:p>
    <w:p w14:paraId="648F1401" w14:textId="77777777" w:rsidR="002A328E" w:rsidRPr="002A328E" w:rsidRDefault="002A328E" w:rsidP="00561E06">
      <w:pPr>
        <w:pStyle w:val="EndNoteBibliography"/>
        <w:ind w:left="-426"/>
        <w:rPr>
          <w:szCs w:val="24"/>
        </w:rPr>
      </w:pPr>
      <w:r w:rsidRPr="002A328E">
        <w:rPr>
          <w:szCs w:val="24"/>
        </w:rPr>
        <w:t>35. Maruish M. User’s manual for the SF-36v2 Health Survey. 3 ed. Lincoln, RI: QualityMetric Incorporated; 2011.</w:t>
      </w:r>
    </w:p>
    <w:p w14:paraId="5FFF49AC" w14:textId="77777777" w:rsidR="002A328E" w:rsidRPr="002A328E" w:rsidRDefault="002A328E" w:rsidP="00561E06">
      <w:pPr>
        <w:pStyle w:val="EndNoteBibliography"/>
        <w:spacing w:after="0"/>
        <w:ind w:left="-426"/>
        <w:rPr>
          <w:szCs w:val="24"/>
        </w:rPr>
      </w:pPr>
    </w:p>
    <w:p w14:paraId="5FBA3E20" w14:textId="77777777" w:rsidR="002A328E" w:rsidRPr="002A328E" w:rsidRDefault="002A328E" w:rsidP="00561E06">
      <w:pPr>
        <w:pStyle w:val="EndNoteBibliography"/>
        <w:ind w:left="-426"/>
        <w:rPr>
          <w:szCs w:val="24"/>
        </w:rPr>
      </w:pPr>
      <w:r w:rsidRPr="002A328E">
        <w:rPr>
          <w:szCs w:val="24"/>
        </w:rPr>
        <w:t>36. Efthimiou O. Practical guide to the meta-analysis of rare events. Evid Based Ment Health. 2018;21(2):72-6.</w:t>
      </w:r>
    </w:p>
    <w:p w14:paraId="06EE2805" w14:textId="77777777" w:rsidR="002A328E" w:rsidRPr="002A328E" w:rsidRDefault="002A328E" w:rsidP="00561E06">
      <w:pPr>
        <w:pStyle w:val="EndNoteBibliography"/>
        <w:spacing w:after="0"/>
        <w:ind w:left="-426"/>
        <w:rPr>
          <w:szCs w:val="24"/>
        </w:rPr>
      </w:pPr>
    </w:p>
    <w:p w14:paraId="79820BD9" w14:textId="77777777" w:rsidR="002A328E" w:rsidRPr="002A328E" w:rsidRDefault="002A328E" w:rsidP="00561E06">
      <w:pPr>
        <w:pStyle w:val="EndNoteBibliography"/>
        <w:ind w:left="-426"/>
        <w:rPr>
          <w:szCs w:val="24"/>
        </w:rPr>
      </w:pPr>
      <w:r w:rsidRPr="002A328E">
        <w:rPr>
          <w:szCs w:val="24"/>
        </w:rPr>
        <w:t>37. Riley RD, Debray TPA, Fisher D, Hattle M, Marlin N, Hoogland J, et al. Individual participant data meta-analysis to examine interactions between treatment effect and participant-level covariates: Statistical recommendations for conduct and planning. Stat Med. 2020;39(15):2115-37.</w:t>
      </w:r>
    </w:p>
    <w:p w14:paraId="0D0D8157" w14:textId="77777777" w:rsidR="002A328E" w:rsidRPr="002A328E" w:rsidRDefault="002A328E" w:rsidP="00561E06">
      <w:pPr>
        <w:pStyle w:val="EndNoteBibliography"/>
        <w:spacing w:after="0"/>
        <w:ind w:left="-426"/>
        <w:rPr>
          <w:szCs w:val="24"/>
        </w:rPr>
      </w:pPr>
    </w:p>
    <w:p w14:paraId="5A27A3AC" w14:textId="77777777" w:rsidR="002A328E" w:rsidRPr="002A328E" w:rsidRDefault="002A328E" w:rsidP="00561E06">
      <w:pPr>
        <w:pStyle w:val="EndNoteBibliography"/>
        <w:ind w:left="-426"/>
        <w:rPr>
          <w:szCs w:val="24"/>
        </w:rPr>
      </w:pPr>
      <w:r w:rsidRPr="002A328E">
        <w:rPr>
          <w:szCs w:val="24"/>
        </w:rPr>
        <w:t>38. Amory JK, Watts NB, Easley KA, Sutton PR, Anawalt BD, Matsumoto AM, et al. Exogenous testosterone or testosterone with finasteride increases bone mineral density in older men with low serum testosterone. J Clin Endocrinol Metab. 2004;89(2):503-10.</w:t>
      </w:r>
    </w:p>
    <w:p w14:paraId="3DBED8BF" w14:textId="77777777" w:rsidR="002A328E" w:rsidRPr="002A328E" w:rsidRDefault="002A328E" w:rsidP="00561E06">
      <w:pPr>
        <w:pStyle w:val="EndNoteBibliography"/>
        <w:spacing w:after="0"/>
        <w:ind w:left="-426"/>
        <w:rPr>
          <w:szCs w:val="24"/>
        </w:rPr>
      </w:pPr>
    </w:p>
    <w:p w14:paraId="5D8DFA5E" w14:textId="77777777" w:rsidR="002A328E" w:rsidRPr="002A328E" w:rsidRDefault="002A328E" w:rsidP="00561E06">
      <w:pPr>
        <w:pStyle w:val="EndNoteBibliography"/>
        <w:ind w:left="-426"/>
        <w:rPr>
          <w:szCs w:val="24"/>
        </w:rPr>
      </w:pPr>
      <w:r w:rsidRPr="002A328E">
        <w:rPr>
          <w:szCs w:val="24"/>
        </w:rPr>
        <w:t>39. Basaria S, Harman SM, Travison TG, Hodis H, Tsitouras P, Budoff M, et al. Effects of testosterone administration for 3 years on subclinical atherosclerosis progression in older men with low or low-normal testosterone levels: a randomized clinical trial. JAMA. 2015;314(6):570-81.</w:t>
      </w:r>
    </w:p>
    <w:p w14:paraId="2ACABFF7" w14:textId="77777777" w:rsidR="002A328E" w:rsidRPr="002A328E" w:rsidRDefault="002A328E" w:rsidP="00561E06">
      <w:pPr>
        <w:pStyle w:val="EndNoteBibliography"/>
        <w:spacing w:after="0"/>
        <w:ind w:left="-426"/>
        <w:rPr>
          <w:szCs w:val="24"/>
        </w:rPr>
      </w:pPr>
    </w:p>
    <w:p w14:paraId="3F333C13" w14:textId="77777777" w:rsidR="002A328E" w:rsidRPr="002A328E" w:rsidRDefault="002A328E" w:rsidP="00561E06">
      <w:pPr>
        <w:pStyle w:val="EndNoteBibliography"/>
        <w:ind w:left="-426"/>
        <w:rPr>
          <w:szCs w:val="24"/>
        </w:rPr>
      </w:pPr>
      <w:r w:rsidRPr="002A328E">
        <w:rPr>
          <w:szCs w:val="24"/>
        </w:rPr>
        <w:t>40. Hildreth KL, Barry DW, Moreau KL, Vande Griend J, Meacham RB, Nakamura T, et al. Effects of testosterone and progressive resistance exercise in healthy, highly functioning older men with low-normal testosterone levels. J Clin Endocrinol Metab. 2013;98(5):1891-900.</w:t>
      </w:r>
    </w:p>
    <w:p w14:paraId="2B947A79" w14:textId="77777777" w:rsidR="002A328E" w:rsidRPr="002A328E" w:rsidRDefault="002A328E" w:rsidP="00561E06">
      <w:pPr>
        <w:pStyle w:val="EndNoteBibliography"/>
        <w:spacing w:after="0"/>
        <w:ind w:left="-426"/>
        <w:rPr>
          <w:szCs w:val="24"/>
        </w:rPr>
      </w:pPr>
    </w:p>
    <w:p w14:paraId="7A2B3810" w14:textId="77777777" w:rsidR="002A328E" w:rsidRPr="002A328E" w:rsidRDefault="002A328E" w:rsidP="00561E06">
      <w:pPr>
        <w:pStyle w:val="EndNoteBibliography"/>
        <w:ind w:left="-426"/>
        <w:rPr>
          <w:szCs w:val="24"/>
        </w:rPr>
      </w:pPr>
      <w:r w:rsidRPr="002A328E">
        <w:rPr>
          <w:szCs w:val="24"/>
        </w:rPr>
        <w:t>41. Marks LS, Mazer NA, Mostaghel E, Hess DL, Dorey FJ, Epstein JI, et al. Effect of testosterone replacement therapy on prostate tissue in men with late-onset hypogonadism - A randomized controlled trial. JAMA. 2006;296(19):2351-61.</w:t>
      </w:r>
    </w:p>
    <w:p w14:paraId="6712C249" w14:textId="77777777" w:rsidR="002A328E" w:rsidRPr="002A328E" w:rsidRDefault="002A328E" w:rsidP="00561E06">
      <w:pPr>
        <w:pStyle w:val="EndNoteBibliography"/>
        <w:spacing w:after="0"/>
        <w:ind w:left="-426"/>
        <w:rPr>
          <w:szCs w:val="24"/>
        </w:rPr>
      </w:pPr>
    </w:p>
    <w:p w14:paraId="55B449C1" w14:textId="77777777" w:rsidR="002A328E" w:rsidRPr="002A328E" w:rsidRDefault="002A328E" w:rsidP="00561E06">
      <w:pPr>
        <w:pStyle w:val="EndNoteBibliography"/>
        <w:ind w:left="-426"/>
        <w:rPr>
          <w:szCs w:val="24"/>
        </w:rPr>
      </w:pPr>
      <w:r w:rsidRPr="002A328E">
        <w:rPr>
          <w:szCs w:val="24"/>
        </w:rPr>
        <w:t>42. Hackett G, Cole N, Bhartia M, Kennedy D, Raju J, Wilkinson P. Testosterone replacement therapy with long-acting testosterone undecanoate improves sexual function and quality-of-life parameters vs. placebo in a population of men with type 2 diabetes. J Sex Med. 2013;10(6):1612-27.</w:t>
      </w:r>
    </w:p>
    <w:p w14:paraId="007E45C9" w14:textId="77777777" w:rsidR="002A328E" w:rsidRPr="002A328E" w:rsidRDefault="002A328E" w:rsidP="00561E06">
      <w:pPr>
        <w:pStyle w:val="EndNoteBibliography"/>
        <w:spacing w:after="0"/>
        <w:ind w:left="-426"/>
        <w:rPr>
          <w:szCs w:val="24"/>
        </w:rPr>
      </w:pPr>
    </w:p>
    <w:p w14:paraId="0747ED3D" w14:textId="77777777" w:rsidR="002A328E" w:rsidRPr="002A328E" w:rsidRDefault="002A328E" w:rsidP="00561E06">
      <w:pPr>
        <w:pStyle w:val="EndNoteBibliography"/>
        <w:ind w:left="-426"/>
        <w:rPr>
          <w:szCs w:val="24"/>
        </w:rPr>
      </w:pPr>
      <w:r w:rsidRPr="002A328E">
        <w:rPr>
          <w:szCs w:val="24"/>
        </w:rPr>
        <w:t>43. Merza Z, Blumsohn A, Mah PM, Meads DM, McKenna SP, Wylie K, et al. Double-blind placebo-controlled study of testosterone patch therapy on bone turnover in men with borderline hypogonadism. Int J Androl. 2006;29(3):381‐91.</w:t>
      </w:r>
    </w:p>
    <w:p w14:paraId="6D64FFFF" w14:textId="77777777" w:rsidR="002A328E" w:rsidRPr="002A328E" w:rsidRDefault="002A328E" w:rsidP="00561E06">
      <w:pPr>
        <w:pStyle w:val="EndNoteBibliography"/>
        <w:spacing w:after="0"/>
        <w:ind w:left="-426"/>
        <w:rPr>
          <w:szCs w:val="24"/>
        </w:rPr>
      </w:pPr>
    </w:p>
    <w:p w14:paraId="56BDBFE0" w14:textId="77777777" w:rsidR="002A328E" w:rsidRPr="002A328E" w:rsidRDefault="002A328E" w:rsidP="00561E06">
      <w:pPr>
        <w:pStyle w:val="EndNoteBibliography"/>
        <w:ind w:left="-426"/>
        <w:rPr>
          <w:szCs w:val="24"/>
        </w:rPr>
      </w:pPr>
      <w:r w:rsidRPr="002A328E">
        <w:rPr>
          <w:szCs w:val="24"/>
        </w:rPr>
        <w:t>44. Srinivas-Shankar U, Roberts SA, Connolly MJ, O'Connell MD, Adams JE, Oldham JA, et al. Effects of testosterone on muscle strength, physical function, body composition, and quality of life in intermediate-frail and frail elderly men: a randomized, double-blind, placebo-controlled study. J Clin Endocrinol Metab. 2010;95(2):639-50.</w:t>
      </w:r>
    </w:p>
    <w:p w14:paraId="4876DBB3" w14:textId="77777777" w:rsidR="002A328E" w:rsidRPr="002A328E" w:rsidRDefault="002A328E" w:rsidP="00561E06">
      <w:pPr>
        <w:pStyle w:val="EndNoteBibliography"/>
        <w:spacing w:after="0"/>
        <w:ind w:left="-426"/>
        <w:rPr>
          <w:szCs w:val="24"/>
        </w:rPr>
      </w:pPr>
    </w:p>
    <w:p w14:paraId="12D74E60" w14:textId="77777777" w:rsidR="002A328E" w:rsidRPr="002A328E" w:rsidRDefault="002A328E" w:rsidP="00561E06">
      <w:pPr>
        <w:pStyle w:val="EndNoteBibliography"/>
        <w:ind w:left="-426"/>
        <w:rPr>
          <w:szCs w:val="24"/>
        </w:rPr>
      </w:pPr>
      <w:r w:rsidRPr="002A328E">
        <w:rPr>
          <w:szCs w:val="24"/>
        </w:rPr>
        <w:t>45. Emmelot-Vonk MH, Verhaar HJJ, Pour HRN, Aleman A, Lock T, Bosch J, et al. Effect of testosterone supplementation on functional mobility, cognition, and other parameters in older men - A randomized controlled trial. JAMA. 2008;299(1):39-52.</w:t>
      </w:r>
    </w:p>
    <w:p w14:paraId="68E68560" w14:textId="77777777" w:rsidR="002A328E" w:rsidRPr="002A328E" w:rsidRDefault="002A328E" w:rsidP="00561E06">
      <w:pPr>
        <w:pStyle w:val="EndNoteBibliography"/>
        <w:spacing w:after="0"/>
        <w:ind w:left="-426"/>
        <w:rPr>
          <w:szCs w:val="24"/>
        </w:rPr>
      </w:pPr>
    </w:p>
    <w:p w14:paraId="6E979F2B" w14:textId="77777777" w:rsidR="002A328E" w:rsidRPr="002A328E" w:rsidRDefault="002A328E" w:rsidP="00561E06">
      <w:pPr>
        <w:pStyle w:val="EndNoteBibliography"/>
        <w:ind w:left="-426"/>
        <w:rPr>
          <w:szCs w:val="24"/>
        </w:rPr>
      </w:pPr>
      <w:r w:rsidRPr="002A328E">
        <w:rPr>
          <w:szCs w:val="24"/>
        </w:rPr>
        <w:t>46. Gianatti EJ, Dupuis P, Hoermann R, Zajac JD, Grossmann M. Effect of testosterone treatment on constitutional and sexual symptoms in men with type 2 diabetes in a randomized, placebo-controlled clinical trial. J Clin Endocrinol Metab. 2014;99(10):3821-8.</w:t>
      </w:r>
    </w:p>
    <w:p w14:paraId="49C23905" w14:textId="77777777" w:rsidR="002A328E" w:rsidRPr="002A328E" w:rsidRDefault="002A328E" w:rsidP="00561E06">
      <w:pPr>
        <w:pStyle w:val="EndNoteBibliography"/>
        <w:spacing w:after="0"/>
        <w:ind w:left="-426"/>
        <w:rPr>
          <w:szCs w:val="24"/>
        </w:rPr>
      </w:pPr>
    </w:p>
    <w:p w14:paraId="3B124D28" w14:textId="77777777" w:rsidR="002A328E" w:rsidRPr="002A328E" w:rsidRDefault="002A328E" w:rsidP="00561E06">
      <w:pPr>
        <w:pStyle w:val="EndNoteBibliography"/>
        <w:ind w:left="-426"/>
        <w:rPr>
          <w:szCs w:val="24"/>
        </w:rPr>
      </w:pPr>
      <w:r w:rsidRPr="002A328E">
        <w:rPr>
          <w:szCs w:val="24"/>
        </w:rPr>
        <w:t>47. Giltay EJ, Tishova YA, Mskhalaya GJ, Gooren LJ, Saad F, Kalinchenko SY. Effects of testosterone supplementation on depressive symptoms and sexual dysfunction in hypogonadal men with the metabolic syndrome. J Sex Med. 2010;7(7):2572-82.</w:t>
      </w:r>
    </w:p>
    <w:p w14:paraId="4826D74A" w14:textId="77777777" w:rsidR="002A328E" w:rsidRPr="002A328E" w:rsidRDefault="002A328E" w:rsidP="00561E06">
      <w:pPr>
        <w:pStyle w:val="EndNoteBibliography"/>
        <w:spacing w:after="0"/>
        <w:ind w:left="-426"/>
        <w:rPr>
          <w:szCs w:val="24"/>
        </w:rPr>
      </w:pPr>
    </w:p>
    <w:p w14:paraId="151E10F8" w14:textId="77777777" w:rsidR="002A328E" w:rsidRPr="002A328E" w:rsidRDefault="002A328E" w:rsidP="00561E06">
      <w:pPr>
        <w:pStyle w:val="EndNoteBibliography"/>
        <w:ind w:left="-426"/>
        <w:rPr>
          <w:szCs w:val="24"/>
        </w:rPr>
      </w:pPr>
      <w:r w:rsidRPr="002A328E">
        <w:rPr>
          <w:szCs w:val="24"/>
        </w:rPr>
        <w:t>48. Groti K, Žuran I, Antonič B, Foršnarič L, Pfeifer M. The impact of testosterone replacement therapy on glycemic control, vascular function, and components of the metabolic syndrome in obese hypogonadal men with type 2 diabetes. Aging Male. 2018;21(3):158-69.</w:t>
      </w:r>
    </w:p>
    <w:p w14:paraId="3D7DC0D4" w14:textId="77777777" w:rsidR="002A328E" w:rsidRPr="002A328E" w:rsidRDefault="002A328E" w:rsidP="00561E06">
      <w:pPr>
        <w:pStyle w:val="EndNoteBibliography"/>
        <w:spacing w:after="0"/>
        <w:ind w:left="-426"/>
        <w:rPr>
          <w:szCs w:val="24"/>
        </w:rPr>
      </w:pPr>
    </w:p>
    <w:p w14:paraId="1C5B4A7A" w14:textId="77777777" w:rsidR="002A328E" w:rsidRPr="002A328E" w:rsidRDefault="002A328E" w:rsidP="00561E06">
      <w:pPr>
        <w:pStyle w:val="EndNoteBibliography"/>
        <w:ind w:left="-426"/>
        <w:rPr>
          <w:szCs w:val="24"/>
        </w:rPr>
      </w:pPr>
      <w:r w:rsidRPr="002A328E">
        <w:rPr>
          <w:szCs w:val="24"/>
        </w:rPr>
        <w:t>49. Ho CC, Tong SF, Low WY, Ng CJ, Khoo EM, Lee VK, et al. A randomized, double-blind, placebo-controlled trial on the effect of long-acting testosterone treatment as assessed by the Aging Male Symptoms scale. BJU Int. 2012;110(2):260-5.</w:t>
      </w:r>
    </w:p>
    <w:p w14:paraId="7544EC67" w14:textId="77777777" w:rsidR="002A328E" w:rsidRPr="002A328E" w:rsidRDefault="002A328E" w:rsidP="00561E06">
      <w:pPr>
        <w:pStyle w:val="EndNoteBibliography"/>
        <w:spacing w:after="0"/>
        <w:ind w:left="-426"/>
        <w:rPr>
          <w:szCs w:val="24"/>
        </w:rPr>
      </w:pPr>
    </w:p>
    <w:p w14:paraId="702E338F" w14:textId="77777777" w:rsidR="002A328E" w:rsidRPr="002A328E" w:rsidRDefault="002A328E" w:rsidP="00561E06">
      <w:pPr>
        <w:pStyle w:val="EndNoteBibliography"/>
        <w:ind w:left="-426"/>
        <w:rPr>
          <w:szCs w:val="24"/>
        </w:rPr>
      </w:pPr>
      <w:r w:rsidRPr="002A328E">
        <w:rPr>
          <w:szCs w:val="24"/>
        </w:rPr>
        <w:t>50. Magnussen LV, Glintborg D, Hermann P, Hougaard DM, Højlund K, Andersen M. Effect of testosterone on insulin sensitivity, oxidative metabolism and body composition in aging men with type 2 diabetes on metformin monotherapy. Diabetes Obes Metab. 2016;18(10):980-9.</w:t>
      </w:r>
    </w:p>
    <w:p w14:paraId="377CF6CD" w14:textId="77777777" w:rsidR="002A328E" w:rsidRPr="002A328E" w:rsidRDefault="002A328E" w:rsidP="00561E06">
      <w:pPr>
        <w:pStyle w:val="EndNoteBibliography"/>
        <w:spacing w:after="0"/>
        <w:ind w:left="-426"/>
        <w:rPr>
          <w:szCs w:val="24"/>
        </w:rPr>
      </w:pPr>
    </w:p>
    <w:p w14:paraId="5014E812" w14:textId="77777777" w:rsidR="002A328E" w:rsidRPr="002A328E" w:rsidRDefault="002A328E" w:rsidP="00561E06">
      <w:pPr>
        <w:pStyle w:val="EndNoteBibliography"/>
        <w:ind w:left="-426"/>
        <w:rPr>
          <w:szCs w:val="24"/>
        </w:rPr>
      </w:pPr>
      <w:r w:rsidRPr="002A328E">
        <w:rPr>
          <w:szCs w:val="24"/>
        </w:rPr>
        <w:t>51. Svartberg J, Agledahl I, Figenschau Y, Sildnes T, Waterloo K, Jorde R. Testosterone treatment in elderly men with subnormal testosterone levels improves body composition and BMD in the hip. Int J Impot Res. 2008;20(4):378-87.</w:t>
      </w:r>
    </w:p>
    <w:p w14:paraId="4D17CCF6" w14:textId="77777777" w:rsidR="002A328E" w:rsidRPr="002A328E" w:rsidRDefault="002A328E" w:rsidP="00561E06">
      <w:pPr>
        <w:pStyle w:val="EndNoteBibliography"/>
        <w:spacing w:after="0"/>
        <w:ind w:left="-426"/>
        <w:rPr>
          <w:szCs w:val="24"/>
        </w:rPr>
      </w:pPr>
    </w:p>
    <w:p w14:paraId="251ECBB7" w14:textId="77777777" w:rsidR="002A328E" w:rsidRPr="002A328E" w:rsidRDefault="002A328E" w:rsidP="00561E06">
      <w:pPr>
        <w:pStyle w:val="EndNoteBibliography"/>
        <w:ind w:left="-426"/>
        <w:rPr>
          <w:szCs w:val="24"/>
        </w:rPr>
      </w:pPr>
      <w:r w:rsidRPr="002A328E">
        <w:rPr>
          <w:szCs w:val="24"/>
        </w:rPr>
        <w:t>52. Brock G, Heiselman D, Maggi M, Kim SW, Rodríguez Vallejo JM, Behre HM, et al. Effect of testosterone solution 2% on testosterone concentration, sex drive and energy in hypogonadal men: results of a placebo controlled study. J Urol. 2016;195(3):699-705.</w:t>
      </w:r>
    </w:p>
    <w:p w14:paraId="2979F6DC" w14:textId="77777777" w:rsidR="002A328E" w:rsidRPr="002A328E" w:rsidRDefault="002A328E" w:rsidP="00561E06">
      <w:pPr>
        <w:pStyle w:val="EndNoteBibliography"/>
        <w:spacing w:after="0"/>
        <w:ind w:left="-426"/>
        <w:rPr>
          <w:szCs w:val="24"/>
        </w:rPr>
      </w:pPr>
    </w:p>
    <w:p w14:paraId="4700256C" w14:textId="77777777" w:rsidR="002A328E" w:rsidRPr="002A328E" w:rsidRDefault="002A328E" w:rsidP="00561E06">
      <w:pPr>
        <w:pStyle w:val="EndNoteBibliography"/>
        <w:ind w:left="-426"/>
        <w:rPr>
          <w:szCs w:val="24"/>
        </w:rPr>
      </w:pPr>
      <w:r w:rsidRPr="002A328E">
        <w:rPr>
          <w:szCs w:val="24"/>
        </w:rPr>
        <w:t>53. Borst SE, Yarrow JF, Conover CF, Nseyo U, Meuleman JR, Lipinska JA, et al. Musculoskeletal and prostate effects of combined testosterone and finasteride administration in older hypogonadal men: a randomized, controlled trial. Am J Physiol Endocrinol Metab. 2014;306(4):E433-42.</w:t>
      </w:r>
    </w:p>
    <w:p w14:paraId="6BA86F5B" w14:textId="77777777" w:rsidR="002A328E" w:rsidRPr="002A328E" w:rsidRDefault="002A328E" w:rsidP="00561E06">
      <w:pPr>
        <w:pStyle w:val="EndNoteBibliography"/>
        <w:spacing w:after="0"/>
        <w:ind w:left="-426"/>
        <w:rPr>
          <w:szCs w:val="24"/>
        </w:rPr>
      </w:pPr>
    </w:p>
    <w:p w14:paraId="37C4EF12" w14:textId="77777777" w:rsidR="002A328E" w:rsidRPr="002A328E" w:rsidRDefault="002A328E" w:rsidP="00561E06">
      <w:pPr>
        <w:pStyle w:val="EndNoteBibliography"/>
        <w:ind w:left="-426"/>
        <w:rPr>
          <w:szCs w:val="24"/>
        </w:rPr>
      </w:pPr>
      <w:r w:rsidRPr="002A328E">
        <w:rPr>
          <w:szCs w:val="24"/>
        </w:rPr>
        <w:t>54. Cherrier MM, Anderson K, Shofer J, Millard S, Matsumoto AM. Testosterone treatment of men with mild cognitive impairment and low testosterone levels. Am J Alzheimers Dis Other Demen. 2015;30(4):421-30.</w:t>
      </w:r>
    </w:p>
    <w:p w14:paraId="19144681" w14:textId="77777777" w:rsidR="002A328E" w:rsidRPr="002A328E" w:rsidRDefault="002A328E" w:rsidP="00561E06">
      <w:pPr>
        <w:pStyle w:val="EndNoteBibliography"/>
        <w:spacing w:after="0"/>
        <w:ind w:left="-426"/>
        <w:rPr>
          <w:szCs w:val="24"/>
        </w:rPr>
      </w:pPr>
    </w:p>
    <w:p w14:paraId="39E188D9" w14:textId="77777777" w:rsidR="002A328E" w:rsidRPr="002A328E" w:rsidRDefault="002A328E" w:rsidP="00561E06">
      <w:pPr>
        <w:pStyle w:val="EndNoteBibliography"/>
        <w:ind w:left="-426"/>
        <w:rPr>
          <w:szCs w:val="24"/>
        </w:rPr>
      </w:pPr>
      <w:r w:rsidRPr="002A328E">
        <w:rPr>
          <w:szCs w:val="24"/>
        </w:rPr>
        <w:t>55. Dhindsa S, Ghanim H, Batra M, Kuhadiya ND, Abuaysheh S, Sandhu S, et al. Insulin resistance and inflammation in hypogonadotropic hypogonadism and their reduction after testosterone replacement in men with type 2 diabetes. Diabetes Care. 2016;39(1):82-91.</w:t>
      </w:r>
    </w:p>
    <w:p w14:paraId="1C4BB956" w14:textId="77777777" w:rsidR="002A328E" w:rsidRPr="002A328E" w:rsidRDefault="002A328E" w:rsidP="00561E06">
      <w:pPr>
        <w:pStyle w:val="EndNoteBibliography"/>
        <w:spacing w:after="0"/>
        <w:ind w:left="-426"/>
        <w:rPr>
          <w:szCs w:val="24"/>
        </w:rPr>
      </w:pPr>
    </w:p>
    <w:p w14:paraId="2011DD2E" w14:textId="77777777" w:rsidR="002A328E" w:rsidRPr="002A328E" w:rsidRDefault="002A328E" w:rsidP="00561E06">
      <w:pPr>
        <w:pStyle w:val="EndNoteBibliography"/>
        <w:ind w:left="-426"/>
        <w:rPr>
          <w:szCs w:val="24"/>
        </w:rPr>
      </w:pPr>
      <w:r w:rsidRPr="002A328E">
        <w:rPr>
          <w:szCs w:val="24"/>
        </w:rPr>
        <w:t>56. Dias JP, Melvin D, Simonsick EM, Carlson O, Shardell MD, Ferrucci L, et al. Effects of aromatase inhibition vs. testosterone in older men with low testosterone: randomized-controlled trial. Andrology. 2016;4(1):33-40.</w:t>
      </w:r>
    </w:p>
    <w:p w14:paraId="685EE561" w14:textId="77777777" w:rsidR="002A328E" w:rsidRPr="002A328E" w:rsidRDefault="002A328E" w:rsidP="00561E06">
      <w:pPr>
        <w:pStyle w:val="EndNoteBibliography"/>
        <w:spacing w:after="0"/>
        <w:ind w:left="-426"/>
        <w:rPr>
          <w:szCs w:val="24"/>
        </w:rPr>
      </w:pPr>
    </w:p>
    <w:p w14:paraId="1B92B8DF" w14:textId="77777777" w:rsidR="002A328E" w:rsidRPr="002A328E" w:rsidRDefault="002A328E" w:rsidP="00561E06">
      <w:pPr>
        <w:pStyle w:val="EndNoteBibliography"/>
        <w:ind w:left="-426"/>
        <w:rPr>
          <w:szCs w:val="24"/>
        </w:rPr>
      </w:pPr>
      <w:r w:rsidRPr="002A328E">
        <w:rPr>
          <w:szCs w:val="24"/>
        </w:rPr>
        <w:t>57. Kaufman JM, Miller MG, Garwin JL, Fitzpatrick S, McWhirter C, Brennan JJ. Efficacy and safety study of 1.62% testosterone gel for the treatment of hypogonadal men. J Sex Med. 2011;8(7):2079-89.</w:t>
      </w:r>
    </w:p>
    <w:p w14:paraId="66CAF570" w14:textId="77777777" w:rsidR="002A328E" w:rsidRPr="002A328E" w:rsidRDefault="002A328E" w:rsidP="00561E06">
      <w:pPr>
        <w:pStyle w:val="EndNoteBibliography"/>
        <w:spacing w:after="0"/>
        <w:ind w:left="-426"/>
        <w:rPr>
          <w:szCs w:val="24"/>
        </w:rPr>
      </w:pPr>
    </w:p>
    <w:p w14:paraId="1336ACE5" w14:textId="77777777" w:rsidR="002A328E" w:rsidRPr="002A328E" w:rsidRDefault="002A328E" w:rsidP="00561E06">
      <w:pPr>
        <w:pStyle w:val="EndNoteBibliography"/>
        <w:ind w:left="-426"/>
        <w:rPr>
          <w:szCs w:val="24"/>
        </w:rPr>
      </w:pPr>
      <w:r w:rsidRPr="002A328E">
        <w:rPr>
          <w:szCs w:val="24"/>
        </w:rPr>
        <w:t>58. Kenny AM, Kleppinger A, Annis K, Rathier M, Browner B, Judge JO, et al. Effects of transdermal testosterone on bone and muscle in older men with low bioavailable testosterone levels, low bone mass, and physical frailty. J Am Geriatr Soc. 2010;58(6):1134-43.</w:t>
      </w:r>
    </w:p>
    <w:p w14:paraId="3393938D" w14:textId="77777777" w:rsidR="002A328E" w:rsidRPr="002A328E" w:rsidRDefault="002A328E" w:rsidP="00561E06">
      <w:pPr>
        <w:pStyle w:val="EndNoteBibliography"/>
        <w:spacing w:after="0"/>
        <w:ind w:left="-426"/>
        <w:rPr>
          <w:szCs w:val="24"/>
        </w:rPr>
      </w:pPr>
    </w:p>
    <w:p w14:paraId="3F905134" w14:textId="77777777" w:rsidR="002A328E" w:rsidRPr="002A328E" w:rsidRDefault="002A328E" w:rsidP="00561E06">
      <w:pPr>
        <w:pStyle w:val="EndNoteBibliography"/>
        <w:ind w:left="-426"/>
        <w:rPr>
          <w:szCs w:val="24"/>
        </w:rPr>
      </w:pPr>
      <w:r w:rsidRPr="002A328E">
        <w:rPr>
          <w:szCs w:val="24"/>
        </w:rPr>
        <w:t>59. Steidle C, Schwartz S, Jacoby K, Sebree T, Smith T, Bachand R. AA2500 testosterone gel normalizes androgen levels in aging males with improvements in body composition and sexual function. J Clin Endocrinol Metab. 2003;88(6):2673-81.</w:t>
      </w:r>
    </w:p>
    <w:p w14:paraId="1E880E96" w14:textId="77777777" w:rsidR="002A328E" w:rsidRPr="002A328E" w:rsidRDefault="002A328E" w:rsidP="00561E06">
      <w:pPr>
        <w:pStyle w:val="EndNoteBibliography"/>
        <w:spacing w:after="0"/>
        <w:ind w:left="-426"/>
        <w:rPr>
          <w:szCs w:val="24"/>
        </w:rPr>
      </w:pPr>
    </w:p>
    <w:p w14:paraId="64A44A09" w14:textId="77777777" w:rsidR="002A328E" w:rsidRPr="002A328E" w:rsidRDefault="002A328E" w:rsidP="00561E06">
      <w:pPr>
        <w:pStyle w:val="EndNoteBibliography"/>
        <w:ind w:left="-426"/>
        <w:rPr>
          <w:szCs w:val="24"/>
        </w:rPr>
      </w:pPr>
      <w:r w:rsidRPr="002A328E">
        <w:rPr>
          <w:szCs w:val="24"/>
        </w:rPr>
        <w:t>60. Aversa A, Bruzziches R, Francomano D, Rosano G, Isidori AM, Lenzi A, et al. Effects of testosterone undecanoate on cardiovascular risk factors and atherosclerosis in middle-aged men with late-onset hypogonadism and metabolic syndrome: results from a 24-month, randomized, double-blind, placebo-controlled study. J Sex Med. 2010a;7(10):3495-503.</w:t>
      </w:r>
    </w:p>
    <w:p w14:paraId="0DB9284B" w14:textId="77777777" w:rsidR="002A328E" w:rsidRPr="002A328E" w:rsidRDefault="002A328E" w:rsidP="00561E06">
      <w:pPr>
        <w:pStyle w:val="EndNoteBibliography"/>
        <w:spacing w:after="0"/>
        <w:ind w:left="-426"/>
        <w:rPr>
          <w:szCs w:val="24"/>
        </w:rPr>
      </w:pPr>
    </w:p>
    <w:p w14:paraId="134B83BD" w14:textId="77777777" w:rsidR="002A328E" w:rsidRPr="002A328E" w:rsidRDefault="002A328E" w:rsidP="00561E06">
      <w:pPr>
        <w:pStyle w:val="EndNoteBibliography"/>
        <w:ind w:left="-426"/>
        <w:rPr>
          <w:szCs w:val="24"/>
        </w:rPr>
      </w:pPr>
      <w:r w:rsidRPr="002A328E">
        <w:rPr>
          <w:szCs w:val="24"/>
        </w:rPr>
        <w:t>61. Aversa A, Bruzziches R, Francomano D, Spera G, Lenzi A. Efficacy and safety of two different testosterone undecanoate formulations in hypogonadal men with metabolic syndrome. J Endocrinol Invest. 2010b;33(11):776-83.</w:t>
      </w:r>
    </w:p>
    <w:p w14:paraId="5309AFDE" w14:textId="77777777" w:rsidR="002A328E" w:rsidRPr="002A328E" w:rsidRDefault="002A328E" w:rsidP="00561E06">
      <w:pPr>
        <w:pStyle w:val="EndNoteBibliography"/>
        <w:spacing w:after="0"/>
        <w:ind w:left="-426"/>
        <w:rPr>
          <w:szCs w:val="24"/>
        </w:rPr>
      </w:pPr>
    </w:p>
    <w:p w14:paraId="35ACB90E" w14:textId="77777777" w:rsidR="002A328E" w:rsidRPr="002A328E" w:rsidRDefault="002A328E" w:rsidP="00561E06">
      <w:pPr>
        <w:pStyle w:val="EndNoteBibliography"/>
        <w:ind w:left="-426"/>
        <w:rPr>
          <w:szCs w:val="24"/>
        </w:rPr>
      </w:pPr>
      <w:r w:rsidRPr="002A328E">
        <w:rPr>
          <w:szCs w:val="24"/>
        </w:rPr>
        <w:t>62. Cavallini G, Caracciolo S, Vitali G, Modenini F, Biagiotti G. Carnitine versus androgen administration in the treatment of sexual dysfunction, depressed mood, and fatigue associated with male aging. Urology. 2004;63(4):641-6.</w:t>
      </w:r>
    </w:p>
    <w:p w14:paraId="3E442D05" w14:textId="77777777" w:rsidR="002A328E" w:rsidRPr="002A328E" w:rsidRDefault="002A328E" w:rsidP="00561E06">
      <w:pPr>
        <w:pStyle w:val="EndNoteBibliography"/>
        <w:spacing w:after="0"/>
        <w:ind w:left="-426"/>
        <w:rPr>
          <w:szCs w:val="24"/>
        </w:rPr>
      </w:pPr>
    </w:p>
    <w:p w14:paraId="587FF7F9" w14:textId="77777777" w:rsidR="002A328E" w:rsidRPr="002A328E" w:rsidRDefault="002A328E" w:rsidP="00561E06">
      <w:pPr>
        <w:pStyle w:val="EndNoteBibliography"/>
        <w:ind w:left="-426"/>
        <w:rPr>
          <w:szCs w:val="24"/>
        </w:rPr>
      </w:pPr>
      <w:r w:rsidRPr="002A328E">
        <w:rPr>
          <w:szCs w:val="24"/>
        </w:rPr>
        <w:t>63. Basurto L, Zarate A, Gomez R, Vargas C, Saucedo R, Galvan R. Effect of testosterone therapy on lumbar spine and hip mineral density in elderly men. Aging Male. 2008;11(3):140-5.</w:t>
      </w:r>
    </w:p>
    <w:p w14:paraId="4058FF85" w14:textId="77777777" w:rsidR="002A328E" w:rsidRPr="002A328E" w:rsidRDefault="002A328E" w:rsidP="00561E06">
      <w:pPr>
        <w:pStyle w:val="EndNoteBibliography"/>
        <w:spacing w:after="0"/>
        <w:ind w:left="-426"/>
        <w:rPr>
          <w:szCs w:val="24"/>
        </w:rPr>
      </w:pPr>
    </w:p>
    <w:p w14:paraId="314F7905" w14:textId="77777777" w:rsidR="002A328E" w:rsidRPr="002A328E" w:rsidRDefault="002A328E" w:rsidP="00561E06">
      <w:pPr>
        <w:pStyle w:val="EndNoteBibliography"/>
        <w:ind w:left="-426"/>
        <w:rPr>
          <w:szCs w:val="24"/>
        </w:rPr>
      </w:pPr>
      <w:r w:rsidRPr="002A328E">
        <w:rPr>
          <w:szCs w:val="24"/>
        </w:rPr>
        <w:t>64. Chiang HS, Hwang TI, Hsui YS, Lin YC, Chen HE, Chen GC, et al. Transdermal testosterone gel increases serum testosterone levels in hypogonadal men in Taiwan with improvements in sexual function. Int J Impot Res. 2007;19(4):411-7.</w:t>
      </w:r>
    </w:p>
    <w:p w14:paraId="50E27747" w14:textId="77777777" w:rsidR="002A328E" w:rsidRPr="002A328E" w:rsidRDefault="002A328E" w:rsidP="00561E06">
      <w:pPr>
        <w:pStyle w:val="EndNoteBibliography"/>
        <w:spacing w:after="0"/>
        <w:ind w:left="-426"/>
        <w:rPr>
          <w:szCs w:val="24"/>
        </w:rPr>
      </w:pPr>
    </w:p>
    <w:p w14:paraId="1B06BD0E" w14:textId="77777777" w:rsidR="002A328E" w:rsidRPr="002A328E" w:rsidRDefault="002A328E" w:rsidP="00561E06">
      <w:pPr>
        <w:pStyle w:val="EndNoteBibliography"/>
        <w:ind w:left="-426"/>
        <w:rPr>
          <w:szCs w:val="24"/>
        </w:rPr>
      </w:pPr>
      <w:r w:rsidRPr="002A328E">
        <w:rPr>
          <w:szCs w:val="24"/>
        </w:rPr>
        <w:t>65. Clague JE, Wu FC, Horan MA. Difficulties in measuring the effect of testosterone replacement therapy on muscle function in older men. Int J Androl. 1999;22(4):261‐5.</w:t>
      </w:r>
    </w:p>
    <w:p w14:paraId="6C8F88E4" w14:textId="77777777" w:rsidR="002A328E" w:rsidRPr="002A328E" w:rsidRDefault="002A328E" w:rsidP="00561E06">
      <w:pPr>
        <w:pStyle w:val="EndNoteBibliography"/>
        <w:spacing w:after="0"/>
        <w:ind w:left="-426"/>
        <w:rPr>
          <w:szCs w:val="24"/>
        </w:rPr>
      </w:pPr>
    </w:p>
    <w:p w14:paraId="5983859E" w14:textId="77777777" w:rsidR="002A328E" w:rsidRPr="002A328E" w:rsidRDefault="002A328E" w:rsidP="00561E06">
      <w:pPr>
        <w:pStyle w:val="EndNoteBibliography"/>
        <w:ind w:left="-426"/>
        <w:rPr>
          <w:szCs w:val="24"/>
        </w:rPr>
      </w:pPr>
      <w:r w:rsidRPr="002A328E">
        <w:rPr>
          <w:szCs w:val="24"/>
        </w:rPr>
        <w:t>66. Morales A, Black A, Emerson L, Barkin J, Kuzmarov I, Day A. Androgens and sexual function: a placebo-controlled, randomized, double-blind study of testosterone vs. dehydroepiandrosterone in men with sexual dysfunction and androgen deficiency. Aging Male. 2009;12(4):104-12.</w:t>
      </w:r>
    </w:p>
    <w:p w14:paraId="25A9E2BB" w14:textId="77777777" w:rsidR="002A328E" w:rsidRPr="002A328E" w:rsidRDefault="002A328E" w:rsidP="00561E06">
      <w:pPr>
        <w:pStyle w:val="EndNoteBibliography"/>
        <w:spacing w:after="0"/>
        <w:ind w:left="-426"/>
        <w:rPr>
          <w:szCs w:val="24"/>
        </w:rPr>
      </w:pPr>
    </w:p>
    <w:p w14:paraId="016BDBBB" w14:textId="77777777" w:rsidR="002A328E" w:rsidRPr="002A328E" w:rsidRDefault="002A328E" w:rsidP="00561E06">
      <w:pPr>
        <w:pStyle w:val="EndNoteBibliography"/>
        <w:ind w:left="-426"/>
        <w:rPr>
          <w:szCs w:val="24"/>
        </w:rPr>
      </w:pPr>
      <w:r w:rsidRPr="002A328E">
        <w:rPr>
          <w:szCs w:val="24"/>
        </w:rPr>
        <w:t>67. Wang YJ, Zhan JK, Huang W, Wang Y, Liu Y, Wang S, et al. Effects of low-dose testosterone undecanoate treatment on bone mineral density and bone turnover markers in elderly male osteoporosis with low serum testosterone. Int J Endocrinol. 2013;2013:570413.</w:t>
      </w:r>
    </w:p>
    <w:p w14:paraId="21D94677" w14:textId="77777777" w:rsidR="002A328E" w:rsidRPr="002A328E" w:rsidRDefault="002A328E" w:rsidP="00561E06">
      <w:pPr>
        <w:pStyle w:val="EndNoteBibliography"/>
        <w:spacing w:after="0"/>
        <w:ind w:left="-426"/>
        <w:rPr>
          <w:szCs w:val="24"/>
        </w:rPr>
      </w:pPr>
    </w:p>
    <w:p w14:paraId="2770F92F" w14:textId="77777777" w:rsidR="002A328E" w:rsidRPr="002A328E" w:rsidRDefault="002A328E" w:rsidP="00561E06">
      <w:pPr>
        <w:pStyle w:val="EndNoteBibliography"/>
        <w:ind w:left="-426"/>
        <w:rPr>
          <w:szCs w:val="24"/>
        </w:rPr>
      </w:pPr>
      <w:r w:rsidRPr="002A328E">
        <w:rPr>
          <w:szCs w:val="24"/>
        </w:rPr>
        <w:t>68. Behre HM, Tammela TL, Arver S, Tolrá JR, Bonifacio V, Lamche M, et al. A randomized, double-blind, placebo-controlled trial of testosterone gel on body composition and health-related quality-of-life in men with hypogonadal to low-normal levels of serum testosterone and symptoms of androgen deficiency over 6 months with 12 months open-label follow-up. Aging Male. 2012;15(4):198-207.</w:t>
      </w:r>
    </w:p>
    <w:p w14:paraId="341436A9" w14:textId="77777777" w:rsidR="002A328E" w:rsidRPr="002A328E" w:rsidRDefault="002A328E" w:rsidP="00561E06">
      <w:pPr>
        <w:pStyle w:val="EndNoteBibliography"/>
        <w:spacing w:after="0"/>
        <w:ind w:left="-426"/>
        <w:rPr>
          <w:szCs w:val="24"/>
        </w:rPr>
      </w:pPr>
    </w:p>
    <w:p w14:paraId="0681C488" w14:textId="77777777" w:rsidR="002A328E" w:rsidRPr="002A328E" w:rsidRDefault="002A328E" w:rsidP="00561E06">
      <w:pPr>
        <w:pStyle w:val="EndNoteBibliography"/>
        <w:ind w:left="-426"/>
        <w:rPr>
          <w:szCs w:val="24"/>
        </w:rPr>
      </w:pPr>
      <w:r w:rsidRPr="002A328E">
        <w:rPr>
          <w:szCs w:val="24"/>
        </w:rPr>
        <w:t>69. Jones TH, Arver S, Behre HM, Buvat J, Meuleman E, Moncada I, et al. Testosterone replacement in hypogonadal men with Type 2 diabetes and/or metabolic syndrome (the TIMES2 Study). 2011;34(4):828-37.</w:t>
      </w:r>
    </w:p>
    <w:p w14:paraId="3B5D4A0B" w14:textId="77777777" w:rsidR="002A328E" w:rsidRPr="002A328E" w:rsidRDefault="002A328E" w:rsidP="00561E06">
      <w:pPr>
        <w:pStyle w:val="EndNoteBibliography"/>
        <w:spacing w:after="0"/>
        <w:ind w:left="-426"/>
        <w:rPr>
          <w:szCs w:val="24"/>
        </w:rPr>
      </w:pPr>
    </w:p>
    <w:p w14:paraId="04EE65C6" w14:textId="77777777" w:rsidR="002A328E" w:rsidRPr="002A328E" w:rsidRDefault="002A328E" w:rsidP="00561E06">
      <w:pPr>
        <w:pStyle w:val="EndNoteBibliography"/>
        <w:ind w:left="-426"/>
        <w:rPr>
          <w:szCs w:val="24"/>
        </w:rPr>
      </w:pPr>
      <w:r w:rsidRPr="002A328E">
        <w:rPr>
          <w:szCs w:val="24"/>
        </w:rPr>
        <w:t>70. Paduch DA, Polzer PK, Ni X, Basaria S. Testosterone replacement in androgen-deficient men with ejaculatory dysfunction: a randomized controlled trial. J Clin Endocrinol Metab. 2015;100(8):2956-62.</w:t>
      </w:r>
    </w:p>
    <w:p w14:paraId="48C30996" w14:textId="77777777" w:rsidR="002A328E" w:rsidRPr="002A328E" w:rsidRDefault="002A328E" w:rsidP="00561E06">
      <w:pPr>
        <w:pStyle w:val="EndNoteBibliography"/>
        <w:spacing w:after="0"/>
        <w:ind w:left="-426"/>
        <w:rPr>
          <w:szCs w:val="24"/>
        </w:rPr>
      </w:pPr>
    </w:p>
    <w:p w14:paraId="7D53A338" w14:textId="64805AE3" w:rsidR="002A328E" w:rsidRPr="002A328E" w:rsidRDefault="002A328E" w:rsidP="00561E06">
      <w:pPr>
        <w:pStyle w:val="EndNoteBibliography"/>
        <w:ind w:left="-426"/>
        <w:rPr>
          <w:szCs w:val="24"/>
        </w:rPr>
      </w:pPr>
      <w:r w:rsidRPr="002A328E">
        <w:rPr>
          <w:szCs w:val="24"/>
        </w:rPr>
        <w:t xml:space="preserve">71. Bayer AG. Testosterone conversion tool 2021. Available from: </w:t>
      </w:r>
      <w:r w:rsidRPr="00E038D5">
        <w:rPr>
          <w:szCs w:val="24"/>
        </w:rPr>
        <w:t>https://www.nebido.com/hcp/tools/testosterone-unit-conversion</w:t>
      </w:r>
      <w:r w:rsidRPr="002A328E">
        <w:rPr>
          <w:szCs w:val="24"/>
        </w:rPr>
        <w:t xml:space="preserve"> (Accessed 30 April 2021).</w:t>
      </w:r>
    </w:p>
    <w:p w14:paraId="0CA9927C" w14:textId="77777777" w:rsidR="002A328E" w:rsidRPr="002A328E" w:rsidRDefault="002A328E" w:rsidP="00561E06">
      <w:pPr>
        <w:pStyle w:val="EndNoteBibliography"/>
        <w:spacing w:after="0"/>
        <w:ind w:left="-426"/>
        <w:rPr>
          <w:szCs w:val="24"/>
        </w:rPr>
      </w:pPr>
    </w:p>
    <w:p w14:paraId="60654B54" w14:textId="77777777" w:rsidR="002A328E" w:rsidRPr="002A328E" w:rsidRDefault="002A328E" w:rsidP="00561E06">
      <w:pPr>
        <w:pStyle w:val="EndNoteBibliography"/>
        <w:ind w:left="-426"/>
        <w:rPr>
          <w:szCs w:val="24"/>
        </w:rPr>
      </w:pPr>
      <w:r w:rsidRPr="002A328E">
        <w:rPr>
          <w:szCs w:val="24"/>
        </w:rPr>
        <w:t>72. Diem SJ, Greer NL, MacDonald R, McKenzie LG, Dahm P, Ercan-Fang N, et al. Efficacy and safety of testosterone treatment in men: an evidence report for a clinical practice guideline by the American College of Physicians. Ann Intern Med. 2020;172(2):105-18.</w:t>
      </w:r>
    </w:p>
    <w:p w14:paraId="2907BCC5" w14:textId="77777777" w:rsidR="002A328E" w:rsidRPr="002A328E" w:rsidRDefault="002A328E" w:rsidP="00561E06">
      <w:pPr>
        <w:pStyle w:val="EndNoteBibliography"/>
        <w:spacing w:after="0"/>
        <w:ind w:left="-426"/>
        <w:rPr>
          <w:szCs w:val="24"/>
        </w:rPr>
      </w:pPr>
    </w:p>
    <w:p w14:paraId="28E19095" w14:textId="77777777" w:rsidR="002A328E" w:rsidRPr="002A328E" w:rsidRDefault="002A328E" w:rsidP="00561E06">
      <w:pPr>
        <w:pStyle w:val="EndNoteBibliography"/>
        <w:ind w:left="-426"/>
        <w:rPr>
          <w:szCs w:val="24"/>
        </w:rPr>
      </w:pPr>
      <w:r w:rsidRPr="002A328E">
        <w:rPr>
          <w:szCs w:val="24"/>
        </w:rPr>
        <w:t>73. Bachman E, Feng R, Travison T, Li M, Olbina G, Ostland V, et al. Testosterone suppresses hepcidin in men: a potential mechanism for testosterone-induced erythrocytosis. J Clin Endocrinol Metab. 2010;95(10):4743-7.</w:t>
      </w:r>
    </w:p>
    <w:p w14:paraId="707474C0" w14:textId="77777777" w:rsidR="002A328E" w:rsidRPr="002A328E" w:rsidRDefault="002A328E" w:rsidP="00561E06">
      <w:pPr>
        <w:pStyle w:val="EndNoteBibliography"/>
        <w:spacing w:after="0"/>
        <w:ind w:left="-426"/>
        <w:rPr>
          <w:szCs w:val="24"/>
        </w:rPr>
      </w:pPr>
    </w:p>
    <w:p w14:paraId="3EAFD4AC" w14:textId="77777777" w:rsidR="002A328E" w:rsidRPr="002A328E" w:rsidRDefault="002A328E" w:rsidP="00561E06">
      <w:pPr>
        <w:pStyle w:val="EndNoteBibliography"/>
        <w:ind w:left="-426"/>
        <w:rPr>
          <w:szCs w:val="24"/>
        </w:rPr>
      </w:pPr>
      <w:r w:rsidRPr="002A328E">
        <w:rPr>
          <w:szCs w:val="24"/>
        </w:rPr>
        <w:t>74. Hackett G, Cole N, Mulay A, Strange RC, Ramachandran S. Long-term testosterone therapy in type 2 diabetes is associated with reduced mortality without improvement in conventional cardiovascular risk factors. BJU Int. 2019;123(3):519-29.</w:t>
      </w:r>
    </w:p>
    <w:p w14:paraId="7A7EAC1D" w14:textId="77777777" w:rsidR="002A328E" w:rsidRPr="002A328E" w:rsidRDefault="002A328E" w:rsidP="00561E06">
      <w:pPr>
        <w:pStyle w:val="EndNoteBibliography"/>
        <w:spacing w:after="0"/>
        <w:ind w:left="-426"/>
        <w:rPr>
          <w:szCs w:val="24"/>
        </w:rPr>
      </w:pPr>
    </w:p>
    <w:p w14:paraId="689DC85F" w14:textId="77777777" w:rsidR="002A328E" w:rsidRPr="002A328E" w:rsidRDefault="002A328E" w:rsidP="00561E06">
      <w:pPr>
        <w:pStyle w:val="EndNoteBibliography"/>
        <w:ind w:left="-426"/>
        <w:rPr>
          <w:szCs w:val="24"/>
        </w:rPr>
      </w:pPr>
      <w:r w:rsidRPr="002A328E">
        <w:rPr>
          <w:szCs w:val="24"/>
        </w:rPr>
        <w:t>75. Muraleedharan V, Marsh H, Kapoor D, Channer KS, Jones TH. Testosterone deficiency is associated with increased risk of mortality and testosterone replacement improves survival in men with type 2 diabetes. Eur J Endocrinol. 2013;169(6):725-33.</w:t>
      </w:r>
    </w:p>
    <w:p w14:paraId="081CDDD3" w14:textId="77777777" w:rsidR="002A328E" w:rsidRPr="002A328E" w:rsidRDefault="002A328E" w:rsidP="00561E06">
      <w:pPr>
        <w:pStyle w:val="EndNoteBibliography"/>
        <w:spacing w:after="0"/>
        <w:ind w:left="-426"/>
        <w:rPr>
          <w:szCs w:val="24"/>
        </w:rPr>
      </w:pPr>
    </w:p>
    <w:p w14:paraId="56769E0D" w14:textId="071EFAB6" w:rsidR="002A328E" w:rsidRPr="002A328E" w:rsidRDefault="002A328E" w:rsidP="00561E06">
      <w:pPr>
        <w:pStyle w:val="EndNoteBibliography"/>
        <w:ind w:left="-426"/>
        <w:rPr>
          <w:szCs w:val="24"/>
        </w:rPr>
      </w:pPr>
      <w:r w:rsidRPr="002A328E">
        <w:rPr>
          <w:szCs w:val="24"/>
        </w:rPr>
        <w:t xml:space="preserve">76. National Library of Medicine. A Study to Evaluate the Effect of Testosterone Replacement Therapy (TRT) on the Incidence of Major Adverse Cardiovascular Events (MACE) and Efficacy Measures in Hypogonadal Men (TRAVERSE) 2018. Available from: </w:t>
      </w:r>
      <w:r w:rsidRPr="00E038D5">
        <w:rPr>
          <w:szCs w:val="24"/>
        </w:rPr>
        <w:t>https://www.clinicaltrials.gov/ct2/show/NCT03518034?term=NCT03518034&amp;draw=2&amp;rank=1</w:t>
      </w:r>
      <w:r w:rsidRPr="002A328E">
        <w:rPr>
          <w:szCs w:val="24"/>
        </w:rPr>
        <w:t xml:space="preserve"> (Accessed August 2021).</w:t>
      </w:r>
    </w:p>
    <w:p w14:paraId="1F9A2D9E" w14:textId="77777777" w:rsidR="002A328E" w:rsidRPr="002A328E" w:rsidRDefault="002A328E" w:rsidP="00561E06">
      <w:pPr>
        <w:pStyle w:val="EndNoteBibliography"/>
        <w:spacing w:after="0"/>
        <w:ind w:left="-426"/>
        <w:rPr>
          <w:szCs w:val="24"/>
        </w:rPr>
      </w:pPr>
    </w:p>
    <w:p w14:paraId="78D4D884" w14:textId="77777777" w:rsidR="002A328E" w:rsidRPr="002A328E" w:rsidRDefault="002A328E" w:rsidP="00561E06">
      <w:pPr>
        <w:pStyle w:val="EndNoteBibliography"/>
        <w:ind w:left="-426"/>
        <w:rPr>
          <w:szCs w:val="24"/>
        </w:rPr>
      </w:pPr>
      <w:r w:rsidRPr="002A328E">
        <w:rPr>
          <w:szCs w:val="24"/>
        </w:rPr>
        <w:t>77. Miller WR. Qualitative research findings as evidence: utility in nursing practice. Clin Nurse Spec. 2010;24(4):191-3.</w:t>
      </w:r>
    </w:p>
    <w:p w14:paraId="18834328" w14:textId="77777777" w:rsidR="002A328E" w:rsidRPr="002A328E" w:rsidRDefault="002A328E" w:rsidP="00561E06">
      <w:pPr>
        <w:pStyle w:val="EndNoteBibliography"/>
        <w:spacing w:after="0"/>
        <w:ind w:left="-426"/>
        <w:rPr>
          <w:szCs w:val="24"/>
        </w:rPr>
      </w:pPr>
    </w:p>
    <w:p w14:paraId="7EB40B1A" w14:textId="77777777" w:rsidR="002A328E" w:rsidRPr="002A328E" w:rsidRDefault="002A328E" w:rsidP="00561E06">
      <w:pPr>
        <w:pStyle w:val="EndNoteBibliography"/>
        <w:ind w:left="-426"/>
        <w:rPr>
          <w:szCs w:val="24"/>
        </w:rPr>
      </w:pPr>
      <w:r w:rsidRPr="002A328E">
        <w:rPr>
          <w:szCs w:val="24"/>
        </w:rPr>
        <w:t>78. Thomas J, Harden A. Methods for the thematic synthesis of qualitative research in systematic reviews. BMC Med Res Methodol. 2008;8:45.</w:t>
      </w:r>
    </w:p>
    <w:p w14:paraId="5C1ADFC7" w14:textId="77777777" w:rsidR="002A328E" w:rsidRPr="002A328E" w:rsidRDefault="002A328E" w:rsidP="00561E06">
      <w:pPr>
        <w:pStyle w:val="EndNoteBibliography"/>
        <w:spacing w:after="0"/>
        <w:ind w:left="-426"/>
        <w:rPr>
          <w:szCs w:val="24"/>
        </w:rPr>
      </w:pPr>
    </w:p>
    <w:p w14:paraId="0E07AE89" w14:textId="4A8F8CE8" w:rsidR="002A328E" w:rsidRPr="002A328E" w:rsidRDefault="002A328E" w:rsidP="00561E06">
      <w:pPr>
        <w:pStyle w:val="EndNoteBibliography"/>
        <w:ind w:left="-426"/>
        <w:rPr>
          <w:szCs w:val="24"/>
        </w:rPr>
      </w:pPr>
      <w:r w:rsidRPr="002A328E">
        <w:rPr>
          <w:szCs w:val="24"/>
        </w:rPr>
        <w:t xml:space="preserve">79. Critical Appraisals Skills Programme. CASP qualitative check list. Oxford:  Critical Appraisal Skills Programme; 2018. Available from: </w:t>
      </w:r>
      <w:r w:rsidRPr="00E038D5">
        <w:rPr>
          <w:szCs w:val="24"/>
        </w:rPr>
        <w:t>https://casp-uk.b-cdn.net/wp-content/uploads/2018/03/CASP-Qualitative-Checklist-2018_fillable_form.pdf</w:t>
      </w:r>
      <w:r w:rsidRPr="002A328E">
        <w:rPr>
          <w:szCs w:val="24"/>
        </w:rPr>
        <w:t>.</w:t>
      </w:r>
    </w:p>
    <w:p w14:paraId="57BF7E0F" w14:textId="77777777" w:rsidR="002A328E" w:rsidRPr="002A328E" w:rsidRDefault="002A328E" w:rsidP="00561E06">
      <w:pPr>
        <w:pStyle w:val="EndNoteBibliography"/>
        <w:spacing w:after="0"/>
        <w:ind w:left="-426"/>
        <w:rPr>
          <w:szCs w:val="24"/>
        </w:rPr>
      </w:pPr>
    </w:p>
    <w:p w14:paraId="6853D971" w14:textId="77777777" w:rsidR="002A328E" w:rsidRPr="002A328E" w:rsidRDefault="002A328E" w:rsidP="00561E06">
      <w:pPr>
        <w:pStyle w:val="EndNoteBibliography"/>
        <w:ind w:left="-426"/>
        <w:rPr>
          <w:szCs w:val="24"/>
        </w:rPr>
      </w:pPr>
      <w:r w:rsidRPr="002A328E">
        <w:rPr>
          <w:szCs w:val="24"/>
        </w:rPr>
        <w:t>80. Lewin S, Glenton C, Munthe-Kaas H, Carlsen B, Colvin CJ, Gülmezoglu M, et al. Using qualitative evidence in decision making for health and social interventions: an approach to assess confidence in findings from evidence syntheses (GRADE-CERQual). PLoS Med. 2015;12(10):e1001895.</w:t>
      </w:r>
    </w:p>
    <w:p w14:paraId="73C9B5A4" w14:textId="77777777" w:rsidR="002A328E" w:rsidRPr="002A328E" w:rsidRDefault="002A328E" w:rsidP="00561E06">
      <w:pPr>
        <w:pStyle w:val="EndNoteBibliography"/>
        <w:spacing w:after="0"/>
        <w:ind w:left="-426"/>
        <w:rPr>
          <w:szCs w:val="24"/>
        </w:rPr>
      </w:pPr>
    </w:p>
    <w:p w14:paraId="1C4A3C82" w14:textId="77777777" w:rsidR="002A328E" w:rsidRPr="002A328E" w:rsidRDefault="002A328E" w:rsidP="00561E06">
      <w:pPr>
        <w:pStyle w:val="EndNoteBibliography"/>
        <w:ind w:left="-426"/>
        <w:rPr>
          <w:szCs w:val="24"/>
        </w:rPr>
      </w:pPr>
      <w:r w:rsidRPr="002A328E">
        <w:rPr>
          <w:szCs w:val="24"/>
        </w:rPr>
        <w:t>81. Hayes RP, Henne J, Kinchen KS. Establishing the content validity of the Sexual Arousal, Interest, and Drive Scale and the Hypogonadism Energy Diary. Int J Clin Pract. 2015;69(4):454-65.</w:t>
      </w:r>
    </w:p>
    <w:p w14:paraId="66FFF84D" w14:textId="77777777" w:rsidR="002A328E" w:rsidRPr="002A328E" w:rsidRDefault="002A328E" w:rsidP="00561E06">
      <w:pPr>
        <w:pStyle w:val="EndNoteBibliography"/>
        <w:spacing w:after="0"/>
        <w:ind w:left="-426"/>
        <w:rPr>
          <w:szCs w:val="24"/>
        </w:rPr>
      </w:pPr>
    </w:p>
    <w:p w14:paraId="04E5A134" w14:textId="77777777" w:rsidR="002A328E" w:rsidRPr="002A328E" w:rsidRDefault="002A328E" w:rsidP="00561E06">
      <w:pPr>
        <w:pStyle w:val="EndNoteBibliography"/>
        <w:ind w:left="-426"/>
        <w:rPr>
          <w:szCs w:val="24"/>
        </w:rPr>
      </w:pPr>
      <w:r w:rsidRPr="002A328E">
        <w:rPr>
          <w:szCs w:val="24"/>
        </w:rPr>
        <w:t>82. Gelhorn HL, Vernon MK, Stewart KD, Miller MG, Brod M, Althof SE, et al. Content validity of the Hypogonadism Impact of Symptoms Questionnaire (HIS-Q): a Patient-Reported Outcome Measure to evaluate symptoms of hypogonadism. Patient. 2016;9(2):181-90.</w:t>
      </w:r>
    </w:p>
    <w:p w14:paraId="78660BB3" w14:textId="77777777" w:rsidR="002A328E" w:rsidRPr="002A328E" w:rsidRDefault="002A328E" w:rsidP="00561E06">
      <w:pPr>
        <w:pStyle w:val="EndNoteBibliography"/>
        <w:spacing w:after="0"/>
        <w:ind w:left="-426"/>
        <w:rPr>
          <w:szCs w:val="24"/>
        </w:rPr>
      </w:pPr>
    </w:p>
    <w:p w14:paraId="7DDBBAA0" w14:textId="77777777" w:rsidR="002A328E" w:rsidRPr="002A328E" w:rsidRDefault="002A328E" w:rsidP="00561E06">
      <w:pPr>
        <w:pStyle w:val="EndNoteBibliography"/>
        <w:ind w:left="-426"/>
        <w:rPr>
          <w:szCs w:val="24"/>
        </w:rPr>
      </w:pPr>
      <w:r w:rsidRPr="002A328E">
        <w:rPr>
          <w:szCs w:val="24"/>
        </w:rPr>
        <w:t>83. Gelhorn HL, Bodhani AR, Wahala LS, Sexton C, Landrian A, Miller MG, et al. Development of the Hypogonadism Impact of Symptoms Questionnaire Short Form: qualitative research. J Sex Med. 2016b;13(11):1729-36.</w:t>
      </w:r>
    </w:p>
    <w:p w14:paraId="71937BD7" w14:textId="77777777" w:rsidR="002A328E" w:rsidRPr="002A328E" w:rsidRDefault="002A328E" w:rsidP="00561E06">
      <w:pPr>
        <w:pStyle w:val="EndNoteBibliography"/>
        <w:spacing w:after="0"/>
        <w:ind w:left="-426"/>
        <w:rPr>
          <w:szCs w:val="24"/>
        </w:rPr>
      </w:pPr>
    </w:p>
    <w:p w14:paraId="4202E0B7" w14:textId="77777777" w:rsidR="002A328E" w:rsidRPr="002A328E" w:rsidRDefault="002A328E" w:rsidP="00561E06">
      <w:pPr>
        <w:pStyle w:val="EndNoteBibliography"/>
        <w:ind w:left="-426"/>
        <w:rPr>
          <w:szCs w:val="24"/>
        </w:rPr>
      </w:pPr>
      <w:r w:rsidRPr="002A328E">
        <w:rPr>
          <w:szCs w:val="24"/>
        </w:rPr>
        <w:t>84. Rosen RC, Araujo AB, Connor MK, Elstad EA, McGraw SA, Guay AT, et al. Assessing symptoms of hypogonadism by self-administered questionnaire: qualitative findings in patients and controls. Aging Male. 2009;12(2-3):77-85.</w:t>
      </w:r>
    </w:p>
    <w:p w14:paraId="03739ED5" w14:textId="77777777" w:rsidR="002A328E" w:rsidRPr="002A328E" w:rsidRDefault="002A328E" w:rsidP="00561E06">
      <w:pPr>
        <w:pStyle w:val="EndNoteBibliography"/>
        <w:spacing w:after="0"/>
        <w:ind w:left="-426"/>
        <w:rPr>
          <w:szCs w:val="24"/>
        </w:rPr>
      </w:pPr>
    </w:p>
    <w:p w14:paraId="05A0F666" w14:textId="77777777" w:rsidR="002A328E" w:rsidRPr="002A328E" w:rsidRDefault="002A328E" w:rsidP="00561E06">
      <w:pPr>
        <w:pStyle w:val="EndNoteBibliography"/>
        <w:ind w:left="-426"/>
        <w:rPr>
          <w:szCs w:val="24"/>
        </w:rPr>
      </w:pPr>
      <w:r w:rsidRPr="002A328E">
        <w:rPr>
          <w:szCs w:val="24"/>
        </w:rPr>
        <w:t>85. Chambers SK, Chung E, Wittert G, Hyde MK. Erectile dysfunction, masculinity, and psychosocial outcomes: a review of the experiences of men after prostate cancer treatment. Transl Androl Urol. 2017;6(1):60-8.</w:t>
      </w:r>
    </w:p>
    <w:p w14:paraId="0B195032" w14:textId="77777777" w:rsidR="002A328E" w:rsidRPr="002A328E" w:rsidRDefault="002A328E" w:rsidP="00561E06">
      <w:pPr>
        <w:pStyle w:val="EndNoteBibliography"/>
        <w:spacing w:after="0"/>
        <w:ind w:left="-426"/>
        <w:rPr>
          <w:szCs w:val="24"/>
        </w:rPr>
      </w:pPr>
    </w:p>
    <w:p w14:paraId="652636EC" w14:textId="77777777" w:rsidR="002A328E" w:rsidRPr="002A328E" w:rsidRDefault="002A328E" w:rsidP="00561E06">
      <w:pPr>
        <w:pStyle w:val="EndNoteBibliography"/>
        <w:ind w:left="-426"/>
        <w:rPr>
          <w:szCs w:val="24"/>
        </w:rPr>
      </w:pPr>
      <w:r w:rsidRPr="002A328E">
        <w:rPr>
          <w:szCs w:val="24"/>
        </w:rPr>
        <w:t>86. Wentzell E. How did erectile dysfunction become "natural"? A review of the critical social scientific literature on medical treatment for male sexual dysfunction. J Sex Res. 2017;54(4-5):486-506.</w:t>
      </w:r>
    </w:p>
    <w:p w14:paraId="0615F4BF" w14:textId="77777777" w:rsidR="002A328E" w:rsidRPr="002A328E" w:rsidRDefault="002A328E" w:rsidP="00561E06">
      <w:pPr>
        <w:pStyle w:val="EndNoteBibliography"/>
        <w:spacing w:after="0"/>
        <w:ind w:left="-426"/>
        <w:rPr>
          <w:szCs w:val="24"/>
        </w:rPr>
      </w:pPr>
    </w:p>
    <w:p w14:paraId="135B0447" w14:textId="77777777" w:rsidR="002A328E" w:rsidRPr="002A328E" w:rsidRDefault="002A328E" w:rsidP="00561E06">
      <w:pPr>
        <w:pStyle w:val="EndNoteBibliography"/>
        <w:ind w:left="-426"/>
        <w:rPr>
          <w:szCs w:val="24"/>
        </w:rPr>
      </w:pPr>
      <w:r w:rsidRPr="002A328E">
        <w:rPr>
          <w:szCs w:val="24"/>
        </w:rPr>
        <w:t>87. King AJ, Evans M, Moore TH, Paterson C, Sharp D, Persad R, et al. Prostate cancer and supportive care: a systematic review and qualitative synthesis of men's experiences and unmet needs. Eur J Cancer Care (Engl). 2015;24(5):618-34.</w:t>
      </w:r>
    </w:p>
    <w:p w14:paraId="25BFD6CF" w14:textId="77777777" w:rsidR="002A328E" w:rsidRPr="002A328E" w:rsidRDefault="002A328E" w:rsidP="00561E06">
      <w:pPr>
        <w:pStyle w:val="EndNoteBibliography"/>
        <w:spacing w:after="0"/>
        <w:ind w:left="-426"/>
        <w:rPr>
          <w:szCs w:val="24"/>
        </w:rPr>
      </w:pPr>
    </w:p>
    <w:p w14:paraId="4BA093D2" w14:textId="77777777" w:rsidR="002A328E" w:rsidRPr="002A328E" w:rsidRDefault="002A328E" w:rsidP="00561E06">
      <w:pPr>
        <w:pStyle w:val="EndNoteBibliography"/>
        <w:ind w:left="-426"/>
        <w:rPr>
          <w:szCs w:val="24"/>
        </w:rPr>
      </w:pPr>
      <w:r w:rsidRPr="002A328E">
        <w:rPr>
          <w:szCs w:val="24"/>
        </w:rPr>
        <w:t>88. Zaider T, Manne S, Nelson C, Mulhall J, Kissane D. Loss of masculine identity, marital affection, and sexual bother in men with localized prostate cancer. J Sex Med. 2012;9(10):2724-32.</w:t>
      </w:r>
    </w:p>
    <w:p w14:paraId="6A53CA36" w14:textId="77777777" w:rsidR="002A328E" w:rsidRPr="002A328E" w:rsidRDefault="002A328E" w:rsidP="00561E06">
      <w:pPr>
        <w:pStyle w:val="EndNoteBibliography"/>
        <w:spacing w:after="0"/>
        <w:ind w:left="-426"/>
        <w:rPr>
          <w:szCs w:val="24"/>
        </w:rPr>
      </w:pPr>
    </w:p>
    <w:p w14:paraId="2B815B2D" w14:textId="77777777" w:rsidR="002A328E" w:rsidRPr="002A328E" w:rsidRDefault="002A328E" w:rsidP="00561E06">
      <w:pPr>
        <w:pStyle w:val="EndNoteBibliography"/>
        <w:ind w:left="-426"/>
        <w:rPr>
          <w:szCs w:val="24"/>
        </w:rPr>
      </w:pPr>
      <w:r w:rsidRPr="002A328E">
        <w:rPr>
          <w:szCs w:val="24"/>
        </w:rPr>
        <w:t>89. Seidler ZE, Dawes AJ, Rice SM, Oliffe JL, Dhillon HM. The role of masculinity in men's help-seeking for depression: A systematic review. Clin Psychol Rev. 2016;49:106-18.</w:t>
      </w:r>
    </w:p>
    <w:p w14:paraId="1C9393DC" w14:textId="77777777" w:rsidR="002A328E" w:rsidRPr="002A328E" w:rsidRDefault="002A328E" w:rsidP="00561E06">
      <w:pPr>
        <w:pStyle w:val="EndNoteBibliography"/>
        <w:spacing w:after="0"/>
        <w:ind w:left="-426"/>
        <w:rPr>
          <w:szCs w:val="24"/>
        </w:rPr>
      </w:pPr>
    </w:p>
    <w:p w14:paraId="649C0F79" w14:textId="77777777" w:rsidR="002A328E" w:rsidRPr="002A328E" w:rsidRDefault="002A328E" w:rsidP="00561E06">
      <w:pPr>
        <w:pStyle w:val="EndNoteBibliography"/>
        <w:ind w:left="-426"/>
        <w:rPr>
          <w:szCs w:val="24"/>
        </w:rPr>
      </w:pPr>
      <w:r w:rsidRPr="002A328E">
        <w:rPr>
          <w:szCs w:val="24"/>
        </w:rPr>
        <w:t>90. Handelsman DJ. Pharmacoepidemiology of testosterone prescribing in Australia, 1992-2010. Med J Aust. 2012;196(10):642-5.</w:t>
      </w:r>
    </w:p>
    <w:p w14:paraId="520A89C5" w14:textId="77777777" w:rsidR="002A328E" w:rsidRPr="002A328E" w:rsidRDefault="002A328E" w:rsidP="00561E06">
      <w:pPr>
        <w:pStyle w:val="EndNoteBibliography"/>
        <w:spacing w:after="0"/>
        <w:ind w:left="-426"/>
        <w:rPr>
          <w:szCs w:val="24"/>
        </w:rPr>
      </w:pPr>
    </w:p>
    <w:p w14:paraId="79542B39" w14:textId="77777777" w:rsidR="002A328E" w:rsidRPr="002A328E" w:rsidRDefault="002A328E" w:rsidP="00561E06">
      <w:pPr>
        <w:pStyle w:val="EndNoteBibliography"/>
        <w:ind w:left="-426"/>
        <w:rPr>
          <w:szCs w:val="24"/>
        </w:rPr>
      </w:pPr>
      <w:r w:rsidRPr="002A328E">
        <w:rPr>
          <w:szCs w:val="24"/>
        </w:rPr>
        <w:t>91. Bhugra D, Silva PD. Sexual Dysfunction Across Cultures. International Review of Psychiatry. 1993;5(2-3):243-52.</w:t>
      </w:r>
    </w:p>
    <w:p w14:paraId="2D0B0FB0" w14:textId="77777777" w:rsidR="002A328E" w:rsidRPr="002A328E" w:rsidRDefault="002A328E" w:rsidP="00561E06">
      <w:pPr>
        <w:pStyle w:val="EndNoteBibliography"/>
        <w:spacing w:after="0"/>
        <w:ind w:left="-426"/>
        <w:rPr>
          <w:szCs w:val="24"/>
        </w:rPr>
      </w:pPr>
    </w:p>
    <w:p w14:paraId="1C658EA8" w14:textId="77777777" w:rsidR="002A328E" w:rsidRPr="002A328E" w:rsidRDefault="002A328E" w:rsidP="00561E06">
      <w:pPr>
        <w:pStyle w:val="EndNoteBibliography"/>
        <w:ind w:left="-426"/>
        <w:rPr>
          <w:szCs w:val="24"/>
        </w:rPr>
      </w:pPr>
      <w:r w:rsidRPr="002A328E">
        <w:rPr>
          <w:szCs w:val="24"/>
        </w:rPr>
        <w:t>92. Black N. Patient reported outcome measures could help transform healthcare. BMJ. 2013;346:f167.</w:t>
      </w:r>
    </w:p>
    <w:p w14:paraId="7F1E93F3" w14:textId="77777777" w:rsidR="002A328E" w:rsidRPr="002A328E" w:rsidRDefault="002A328E" w:rsidP="00561E06">
      <w:pPr>
        <w:pStyle w:val="EndNoteBibliography"/>
        <w:spacing w:after="0"/>
        <w:ind w:left="-426"/>
        <w:rPr>
          <w:szCs w:val="24"/>
        </w:rPr>
      </w:pPr>
    </w:p>
    <w:p w14:paraId="531ED813" w14:textId="77777777" w:rsidR="002A328E" w:rsidRPr="002A328E" w:rsidRDefault="002A328E" w:rsidP="00561E06">
      <w:pPr>
        <w:pStyle w:val="EndNoteBibliography"/>
        <w:ind w:left="-426"/>
        <w:rPr>
          <w:szCs w:val="24"/>
        </w:rPr>
      </w:pPr>
      <w:r w:rsidRPr="002A328E">
        <w:rPr>
          <w:szCs w:val="24"/>
        </w:rPr>
        <w:t>93. Langham S, Maggi M, Schulman C, Quinton R, Uhl-Hochgraeber K. Health-related quality of life instruments in studies of adult men with testosterone deficiency syndrome: a critical assessment. J Sex Med. 2008;5(12):2842-52.</w:t>
      </w:r>
    </w:p>
    <w:p w14:paraId="6154220C" w14:textId="77777777" w:rsidR="002A328E" w:rsidRPr="002A328E" w:rsidRDefault="002A328E" w:rsidP="00561E06">
      <w:pPr>
        <w:pStyle w:val="EndNoteBibliography"/>
        <w:spacing w:after="0"/>
        <w:ind w:left="-426"/>
        <w:rPr>
          <w:szCs w:val="24"/>
        </w:rPr>
      </w:pPr>
    </w:p>
    <w:p w14:paraId="73AB1BB2" w14:textId="77777777" w:rsidR="002A328E" w:rsidRPr="002A328E" w:rsidRDefault="002A328E" w:rsidP="00561E06">
      <w:pPr>
        <w:pStyle w:val="EndNoteBibliography"/>
        <w:ind w:left="-426"/>
        <w:rPr>
          <w:szCs w:val="24"/>
        </w:rPr>
      </w:pPr>
      <w:r w:rsidRPr="002A328E">
        <w:rPr>
          <w:szCs w:val="24"/>
        </w:rPr>
        <w:t>94. Macefield RC, Jacobs M, Korfage IJ, Nicklin J, Whistance RN, Brookes ST, et al. Developing core outcomes sets: methods for identifying and including patient-reported outcomes (PROs). Trials. 2014;15:49.</w:t>
      </w:r>
    </w:p>
    <w:p w14:paraId="065266BE" w14:textId="77777777" w:rsidR="002A328E" w:rsidRPr="002A328E" w:rsidRDefault="002A328E" w:rsidP="00561E06">
      <w:pPr>
        <w:pStyle w:val="EndNoteBibliography"/>
        <w:spacing w:after="0"/>
        <w:ind w:left="-426"/>
        <w:rPr>
          <w:szCs w:val="24"/>
        </w:rPr>
      </w:pPr>
    </w:p>
    <w:p w14:paraId="223C29DE" w14:textId="77777777" w:rsidR="002A328E" w:rsidRPr="002A328E" w:rsidRDefault="002A328E" w:rsidP="00561E06">
      <w:pPr>
        <w:pStyle w:val="EndNoteBibliography"/>
        <w:ind w:left="-426"/>
        <w:rPr>
          <w:szCs w:val="24"/>
        </w:rPr>
      </w:pPr>
      <w:r w:rsidRPr="002A328E">
        <w:rPr>
          <w:szCs w:val="24"/>
        </w:rPr>
        <w:t>95. Gillies K, Duthie A, Cotton S, Campbell MK. Patient reported measures of informed consent for clinical trials: A systematic review. PLoS One. 2018;13(6):e0199775.</w:t>
      </w:r>
    </w:p>
    <w:p w14:paraId="791EEEE1" w14:textId="77777777" w:rsidR="002A328E" w:rsidRPr="002A328E" w:rsidRDefault="002A328E" w:rsidP="00561E06">
      <w:pPr>
        <w:pStyle w:val="EndNoteBibliography"/>
        <w:spacing w:after="0"/>
        <w:ind w:left="-426"/>
        <w:rPr>
          <w:szCs w:val="24"/>
        </w:rPr>
      </w:pPr>
    </w:p>
    <w:p w14:paraId="32BF27A6" w14:textId="77777777" w:rsidR="002A328E" w:rsidRPr="002A328E" w:rsidRDefault="002A328E" w:rsidP="00561E06">
      <w:pPr>
        <w:pStyle w:val="EndNoteBibliography"/>
        <w:ind w:left="-426"/>
        <w:rPr>
          <w:szCs w:val="24"/>
        </w:rPr>
      </w:pPr>
      <w:r w:rsidRPr="002A328E">
        <w:rPr>
          <w:szCs w:val="24"/>
        </w:rPr>
        <w:t>96. Cruickshank M, Newlands R, Blazeby J, Ahmed I, Bekheit M, Brazzelli M, et al. Identification and categorisation of relevant outcomes for symptomatic uncomplicated gallstone disease: in-depth analysis to inform the development of a core outcome set. BMJ Open. 2021;11(6):e045568.</w:t>
      </w:r>
    </w:p>
    <w:p w14:paraId="6A60D329" w14:textId="77777777" w:rsidR="002A328E" w:rsidRPr="002A328E" w:rsidRDefault="002A328E" w:rsidP="00561E06">
      <w:pPr>
        <w:pStyle w:val="EndNoteBibliography"/>
        <w:spacing w:after="0"/>
        <w:ind w:left="-426"/>
        <w:rPr>
          <w:szCs w:val="24"/>
        </w:rPr>
      </w:pPr>
    </w:p>
    <w:p w14:paraId="1F91AD27" w14:textId="77777777" w:rsidR="002A328E" w:rsidRPr="002A328E" w:rsidRDefault="002A328E" w:rsidP="00561E06">
      <w:pPr>
        <w:pStyle w:val="EndNoteBibliography"/>
        <w:ind w:left="-426"/>
        <w:rPr>
          <w:szCs w:val="24"/>
        </w:rPr>
      </w:pPr>
      <w:r w:rsidRPr="002A328E">
        <w:rPr>
          <w:szCs w:val="24"/>
        </w:rPr>
        <w:t>97. Potter WJ, Levine‐Donnerstein D. Rethinking validity and reliability in content analysis. J Appl Commun Res. 1999;27(3):258-84.</w:t>
      </w:r>
    </w:p>
    <w:p w14:paraId="32AC822B" w14:textId="77777777" w:rsidR="002A328E" w:rsidRPr="002A328E" w:rsidRDefault="002A328E" w:rsidP="00561E06">
      <w:pPr>
        <w:pStyle w:val="EndNoteBibliography"/>
        <w:spacing w:after="0"/>
        <w:ind w:left="-426"/>
        <w:rPr>
          <w:szCs w:val="24"/>
        </w:rPr>
      </w:pPr>
    </w:p>
    <w:p w14:paraId="1F0A6CA9" w14:textId="0847D32D" w:rsidR="002A328E" w:rsidRPr="002A328E" w:rsidRDefault="002A328E" w:rsidP="00561E06">
      <w:pPr>
        <w:pStyle w:val="EndNoteBibliography"/>
        <w:ind w:left="-426"/>
        <w:rPr>
          <w:szCs w:val="24"/>
        </w:rPr>
      </w:pPr>
      <w:r w:rsidRPr="002A328E">
        <w:rPr>
          <w:szCs w:val="24"/>
        </w:rPr>
        <w:t xml:space="preserve">98. World Health Organization. International Classification of Functioning, Disability and Health (ICF) 2001. Available from: </w:t>
      </w:r>
      <w:r w:rsidRPr="00E038D5">
        <w:rPr>
          <w:szCs w:val="24"/>
        </w:rPr>
        <w:t>https://www.who.int/standards/classifications/international-classification-of-functioning-disability-and-health</w:t>
      </w:r>
      <w:r w:rsidRPr="002A328E">
        <w:rPr>
          <w:szCs w:val="24"/>
        </w:rPr>
        <w:t xml:space="preserve"> (Accessed 4 August 2020).</w:t>
      </w:r>
    </w:p>
    <w:p w14:paraId="6DF75C58" w14:textId="77777777" w:rsidR="002A328E" w:rsidRPr="002A328E" w:rsidRDefault="002A328E" w:rsidP="00561E06">
      <w:pPr>
        <w:pStyle w:val="EndNoteBibliography"/>
        <w:spacing w:after="0"/>
        <w:ind w:left="-426"/>
        <w:rPr>
          <w:szCs w:val="24"/>
        </w:rPr>
      </w:pPr>
    </w:p>
    <w:p w14:paraId="459E8AB6" w14:textId="77777777" w:rsidR="002A328E" w:rsidRPr="002A328E" w:rsidRDefault="002A328E" w:rsidP="00561E06">
      <w:pPr>
        <w:pStyle w:val="EndNoteBibliography"/>
        <w:ind w:left="-426"/>
        <w:rPr>
          <w:szCs w:val="24"/>
        </w:rPr>
      </w:pPr>
      <w:r w:rsidRPr="002A328E">
        <w:rPr>
          <w:szCs w:val="24"/>
        </w:rPr>
        <w:t>99. Morley JE, Charlton E, Patrick P, Kaiser FE, Cadeau P, McCready D, et al. Validation of a screening questionnaire for androgen deficiency in aging males. Metabolism. 2000;49(9):1239-42.</w:t>
      </w:r>
    </w:p>
    <w:p w14:paraId="6E3C53F0" w14:textId="77777777" w:rsidR="002A328E" w:rsidRPr="002A328E" w:rsidRDefault="002A328E" w:rsidP="00561E06">
      <w:pPr>
        <w:pStyle w:val="EndNoteBibliography"/>
        <w:spacing w:after="0"/>
        <w:ind w:left="-426"/>
        <w:rPr>
          <w:szCs w:val="24"/>
        </w:rPr>
      </w:pPr>
    </w:p>
    <w:p w14:paraId="1B6D06A4" w14:textId="77777777" w:rsidR="002A328E" w:rsidRPr="002A328E" w:rsidRDefault="002A328E" w:rsidP="00561E06">
      <w:pPr>
        <w:pStyle w:val="EndNoteBibliography"/>
        <w:ind w:left="-426"/>
        <w:rPr>
          <w:szCs w:val="24"/>
        </w:rPr>
      </w:pPr>
      <w:r w:rsidRPr="002A328E">
        <w:rPr>
          <w:szCs w:val="24"/>
        </w:rPr>
        <w:t>100. Heinemann L, Saad F, Pöllänen P. Measurement of Quality of Life Specific for Aging Males. In: Schneider HPG, editor. Hormone Replacement Therapy and Quality of Life. London: Parthenon Publishing Group; 2002.</w:t>
      </w:r>
    </w:p>
    <w:p w14:paraId="40A47D25" w14:textId="77777777" w:rsidR="002A328E" w:rsidRPr="002A328E" w:rsidRDefault="002A328E" w:rsidP="00561E06">
      <w:pPr>
        <w:pStyle w:val="EndNoteBibliography"/>
        <w:spacing w:after="0"/>
        <w:ind w:left="-426"/>
        <w:rPr>
          <w:szCs w:val="24"/>
        </w:rPr>
      </w:pPr>
    </w:p>
    <w:p w14:paraId="0161DDCB" w14:textId="77777777" w:rsidR="002A328E" w:rsidRPr="002A328E" w:rsidRDefault="002A328E" w:rsidP="00561E06">
      <w:pPr>
        <w:pStyle w:val="EndNoteBibliography"/>
        <w:ind w:left="-426"/>
        <w:rPr>
          <w:szCs w:val="24"/>
        </w:rPr>
      </w:pPr>
      <w:r w:rsidRPr="002A328E">
        <w:rPr>
          <w:szCs w:val="24"/>
        </w:rPr>
        <w:t>101. Heinemann LA, Saad F, Zimmermann T, Novak A, Myon E, Badia X, et al. The Aging Males' Symptoms (AMS) scale: update and compilation of international versions. Health Qual Life Outcomes. 2003;1:15.</w:t>
      </w:r>
    </w:p>
    <w:p w14:paraId="2286770F" w14:textId="77777777" w:rsidR="002A328E" w:rsidRPr="002A328E" w:rsidRDefault="002A328E" w:rsidP="00561E06">
      <w:pPr>
        <w:pStyle w:val="EndNoteBibliography"/>
        <w:spacing w:after="0"/>
        <w:ind w:left="-426"/>
        <w:rPr>
          <w:szCs w:val="24"/>
        </w:rPr>
      </w:pPr>
    </w:p>
    <w:p w14:paraId="1B924AC7" w14:textId="77777777" w:rsidR="002A328E" w:rsidRPr="002A328E" w:rsidRDefault="002A328E" w:rsidP="00561E06">
      <w:pPr>
        <w:pStyle w:val="EndNoteBibliography"/>
        <w:ind w:left="-426"/>
        <w:rPr>
          <w:szCs w:val="24"/>
        </w:rPr>
      </w:pPr>
      <w:r w:rsidRPr="002A328E">
        <w:rPr>
          <w:szCs w:val="24"/>
        </w:rPr>
        <w:t>102. Heinemann LAJ, Saad F, Thiele K, Wood-Dauphinee S. The Aging Males' Symptoms rating scale: cultural and linguistic validation into English. Aging Male. 2001;4(1):14-22.</w:t>
      </w:r>
    </w:p>
    <w:p w14:paraId="564B687B" w14:textId="77777777" w:rsidR="002A328E" w:rsidRPr="002A328E" w:rsidRDefault="002A328E" w:rsidP="00561E06">
      <w:pPr>
        <w:pStyle w:val="EndNoteBibliography"/>
        <w:spacing w:after="0"/>
        <w:ind w:left="-426"/>
        <w:rPr>
          <w:szCs w:val="24"/>
        </w:rPr>
      </w:pPr>
    </w:p>
    <w:p w14:paraId="25F41103" w14:textId="77777777" w:rsidR="002A328E" w:rsidRPr="002A328E" w:rsidRDefault="002A328E" w:rsidP="00561E06">
      <w:pPr>
        <w:pStyle w:val="EndNoteBibliography"/>
        <w:ind w:left="-426"/>
        <w:rPr>
          <w:szCs w:val="24"/>
        </w:rPr>
      </w:pPr>
      <w:r w:rsidRPr="002A328E">
        <w:rPr>
          <w:szCs w:val="24"/>
        </w:rPr>
        <w:t>103. Heinemann LAJ, Zimmermann T, Vermeulen A, Thiel C, Hummel W. A new ‘aging males’ symptoms' rating scale. Aging Male. 1999;2(2):105-14.</w:t>
      </w:r>
    </w:p>
    <w:p w14:paraId="1F3D657A" w14:textId="77777777" w:rsidR="002A328E" w:rsidRPr="002A328E" w:rsidRDefault="002A328E" w:rsidP="00561E06">
      <w:pPr>
        <w:pStyle w:val="EndNoteBibliography"/>
        <w:spacing w:after="0"/>
        <w:ind w:left="-426"/>
        <w:rPr>
          <w:szCs w:val="24"/>
        </w:rPr>
      </w:pPr>
    </w:p>
    <w:p w14:paraId="116AB471" w14:textId="77777777" w:rsidR="002A328E" w:rsidRPr="002A328E" w:rsidRDefault="002A328E" w:rsidP="00561E06">
      <w:pPr>
        <w:pStyle w:val="EndNoteBibliography"/>
        <w:ind w:left="-426"/>
        <w:rPr>
          <w:szCs w:val="24"/>
        </w:rPr>
      </w:pPr>
      <w:r w:rsidRPr="002A328E">
        <w:rPr>
          <w:szCs w:val="24"/>
        </w:rPr>
        <w:t>104. Corona G, Mannucci E, Petrone L, Balercia G, Fisher AD, Chiarini V, et al. ANDROTEST: a structured interview for the screening of hypogonadism in patients with sexual dysfunction. J Sex Med. 2006;3(4):706-15.</w:t>
      </w:r>
    </w:p>
    <w:p w14:paraId="45991297" w14:textId="77777777" w:rsidR="002A328E" w:rsidRPr="002A328E" w:rsidRDefault="002A328E" w:rsidP="00561E06">
      <w:pPr>
        <w:pStyle w:val="EndNoteBibliography"/>
        <w:spacing w:after="0"/>
        <w:ind w:left="-426"/>
        <w:rPr>
          <w:szCs w:val="24"/>
        </w:rPr>
      </w:pPr>
    </w:p>
    <w:p w14:paraId="1C6B05E5" w14:textId="77777777" w:rsidR="002A328E" w:rsidRPr="002A328E" w:rsidRDefault="002A328E" w:rsidP="00561E06">
      <w:pPr>
        <w:pStyle w:val="EndNoteBibliography"/>
        <w:ind w:left="-426"/>
        <w:rPr>
          <w:szCs w:val="24"/>
        </w:rPr>
      </w:pPr>
      <w:r w:rsidRPr="002A328E">
        <w:rPr>
          <w:szCs w:val="24"/>
        </w:rPr>
        <w:t>105. McMillan CV, Bradley C, Giannoulis M, Martin F, Sönksen PH. Preliminary development of a new individualised questionnaire measuring quality of life in older men with age-related hormonal decline: the A-RHDQoL. Health Qual Life Outcomes. 2003;1:51.</w:t>
      </w:r>
    </w:p>
    <w:p w14:paraId="50CDF044" w14:textId="77777777" w:rsidR="002A328E" w:rsidRPr="002A328E" w:rsidRDefault="002A328E" w:rsidP="00561E06">
      <w:pPr>
        <w:pStyle w:val="EndNoteBibliography"/>
        <w:spacing w:after="0"/>
        <w:ind w:left="-426"/>
        <w:rPr>
          <w:szCs w:val="24"/>
        </w:rPr>
      </w:pPr>
    </w:p>
    <w:p w14:paraId="078744E3" w14:textId="77777777" w:rsidR="002A328E" w:rsidRPr="002A328E" w:rsidRDefault="002A328E" w:rsidP="00561E06">
      <w:pPr>
        <w:pStyle w:val="EndNoteBibliography"/>
        <w:ind w:left="-426"/>
        <w:rPr>
          <w:szCs w:val="24"/>
        </w:rPr>
      </w:pPr>
      <w:r w:rsidRPr="002A328E">
        <w:rPr>
          <w:szCs w:val="24"/>
        </w:rPr>
        <w:t>106. Gelhorn HL, Dashiell-Aje E, Miller MG, DeRogatis LR, Dobs A, Seftel AD, et al. Psychometric evaluation of the Hypogonadism Impact of Symptoms Questionnaire. J Sex Med. 2016c;13(11):1737-49.</w:t>
      </w:r>
    </w:p>
    <w:p w14:paraId="6B6A6652" w14:textId="77777777" w:rsidR="002A328E" w:rsidRPr="002A328E" w:rsidRDefault="002A328E" w:rsidP="00561E06">
      <w:pPr>
        <w:pStyle w:val="EndNoteBibliography"/>
        <w:spacing w:after="0"/>
        <w:ind w:left="-426"/>
        <w:rPr>
          <w:szCs w:val="24"/>
        </w:rPr>
      </w:pPr>
    </w:p>
    <w:p w14:paraId="6BE437EB" w14:textId="77777777" w:rsidR="002A328E" w:rsidRPr="002A328E" w:rsidRDefault="002A328E" w:rsidP="00561E06">
      <w:pPr>
        <w:pStyle w:val="EndNoteBibliography"/>
        <w:ind w:left="-426"/>
        <w:rPr>
          <w:szCs w:val="24"/>
        </w:rPr>
      </w:pPr>
      <w:r w:rsidRPr="002A328E">
        <w:rPr>
          <w:szCs w:val="24"/>
        </w:rPr>
        <w:t>107. Smith KW, Feldman HA, McKinlay JB. Construction and field validation of a self-administered screener for testosterone deficiency (hypogonadism) in ageing men. Clin Endocrinol (Oxf). 2000;53(6):703-11.</w:t>
      </w:r>
    </w:p>
    <w:p w14:paraId="2D423460" w14:textId="77777777" w:rsidR="002A328E" w:rsidRPr="002A328E" w:rsidRDefault="002A328E" w:rsidP="00561E06">
      <w:pPr>
        <w:pStyle w:val="EndNoteBibliography"/>
        <w:spacing w:after="0"/>
        <w:ind w:left="-426"/>
        <w:rPr>
          <w:szCs w:val="24"/>
        </w:rPr>
      </w:pPr>
    </w:p>
    <w:p w14:paraId="5FE0000B" w14:textId="77777777" w:rsidR="002A328E" w:rsidRPr="002A328E" w:rsidRDefault="002A328E" w:rsidP="00561E06">
      <w:pPr>
        <w:pStyle w:val="EndNoteBibliography"/>
        <w:ind w:left="-426"/>
        <w:rPr>
          <w:szCs w:val="24"/>
        </w:rPr>
      </w:pPr>
      <w:r w:rsidRPr="002A328E">
        <w:rPr>
          <w:szCs w:val="24"/>
        </w:rPr>
        <w:t>108. Morales A, Lunenfeld B. Investigation, treatment and monitoring of late-onset hypogonadism in males. Official recommendations of ISSAM. International Society for the Study of the Aging Male. Aging Male. 2002;5(2):74-86.</w:t>
      </w:r>
    </w:p>
    <w:p w14:paraId="2F6E968A" w14:textId="77777777" w:rsidR="002A328E" w:rsidRPr="002A328E" w:rsidRDefault="002A328E" w:rsidP="00561E06">
      <w:pPr>
        <w:pStyle w:val="EndNoteBibliography"/>
        <w:spacing w:after="0"/>
        <w:ind w:left="-426"/>
        <w:rPr>
          <w:szCs w:val="24"/>
        </w:rPr>
      </w:pPr>
    </w:p>
    <w:p w14:paraId="4091FF3B" w14:textId="1AF2FB81" w:rsidR="002A328E" w:rsidRPr="002A328E" w:rsidRDefault="002A328E" w:rsidP="00561E06">
      <w:pPr>
        <w:pStyle w:val="EndNoteBibliography"/>
        <w:ind w:left="-426"/>
        <w:rPr>
          <w:szCs w:val="24"/>
        </w:rPr>
      </w:pPr>
      <w:r w:rsidRPr="002A328E">
        <w:rPr>
          <w:szCs w:val="24"/>
        </w:rPr>
        <w:t xml:space="preserve">109. Bradley C. Age-Related Hormone Deficiency-Dependent Quality of Life (A-RHDQoL). Egham, UK: Health Psychology Research Unit, University of London; 2001. Available from: </w:t>
      </w:r>
      <w:r w:rsidRPr="00E038D5">
        <w:rPr>
          <w:szCs w:val="24"/>
        </w:rPr>
        <w:t>https://www.healthpsychologyresearch.com/find-a-questionnaire/age-related-hormone-deficiency-dependent-quality-life-rhdqol</w:t>
      </w:r>
      <w:r w:rsidRPr="002A328E">
        <w:rPr>
          <w:szCs w:val="24"/>
        </w:rPr>
        <w:t>.</w:t>
      </w:r>
      <w:r w:rsidR="00D73245">
        <w:rPr>
          <w:szCs w:val="24"/>
        </w:rPr>
        <w:t xml:space="preserve"> (Accessed 11 August 2020)</w:t>
      </w:r>
    </w:p>
    <w:p w14:paraId="3BF93EC5" w14:textId="77777777" w:rsidR="002A328E" w:rsidRPr="002A328E" w:rsidRDefault="002A328E" w:rsidP="00561E06">
      <w:pPr>
        <w:pStyle w:val="EndNoteBibliography"/>
        <w:spacing w:after="0"/>
        <w:ind w:left="-426"/>
        <w:rPr>
          <w:szCs w:val="24"/>
        </w:rPr>
      </w:pPr>
    </w:p>
    <w:p w14:paraId="63E9D837" w14:textId="77777777" w:rsidR="002A328E" w:rsidRPr="002A328E" w:rsidRDefault="002A328E" w:rsidP="00561E06">
      <w:pPr>
        <w:pStyle w:val="EndNoteBibliography"/>
        <w:ind w:left="-426"/>
        <w:rPr>
          <w:szCs w:val="24"/>
        </w:rPr>
      </w:pPr>
      <w:r w:rsidRPr="002A328E">
        <w:rPr>
          <w:szCs w:val="24"/>
        </w:rPr>
        <w:t>110. Wiltink J, Beutel ME, Brähler E, Weidner W. Hypogonadism-related symptoms: development and evaluation of an empirically derived self-rating instrument (HRS ‘Hypogonadism Related Symptom Scale’). Andrologia. 2009;41(5):297-304.</w:t>
      </w:r>
    </w:p>
    <w:p w14:paraId="1D18AF38" w14:textId="77777777" w:rsidR="002A328E" w:rsidRPr="002A328E" w:rsidRDefault="002A328E" w:rsidP="00561E06">
      <w:pPr>
        <w:pStyle w:val="EndNoteBibliography"/>
        <w:spacing w:after="0"/>
        <w:ind w:left="-426"/>
        <w:rPr>
          <w:szCs w:val="24"/>
        </w:rPr>
      </w:pPr>
    </w:p>
    <w:p w14:paraId="5706A6C6" w14:textId="77777777" w:rsidR="002A328E" w:rsidRPr="002A328E" w:rsidRDefault="002A328E" w:rsidP="00561E06">
      <w:pPr>
        <w:pStyle w:val="EndNoteBibliography"/>
        <w:ind w:left="-426"/>
        <w:rPr>
          <w:szCs w:val="24"/>
        </w:rPr>
      </w:pPr>
      <w:r w:rsidRPr="002A328E">
        <w:rPr>
          <w:szCs w:val="24"/>
        </w:rPr>
        <w:t>111. Husereau D, Drummond M, Petrou S, Carswell C, Moher D, Greenberg D, et al. Consolidated Health Economic Evaluation Reporting Standards (CHEERS) statement. Value Health. 2013;16(2):e1-5.</w:t>
      </w:r>
    </w:p>
    <w:p w14:paraId="3538D2F2" w14:textId="77777777" w:rsidR="002A328E" w:rsidRPr="002A328E" w:rsidRDefault="002A328E" w:rsidP="00561E06">
      <w:pPr>
        <w:pStyle w:val="EndNoteBibliography"/>
        <w:spacing w:after="0"/>
        <w:ind w:left="-426"/>
        <w:rPr>
          <w:szCs w:val="24"/>
        </w:rPr>
      </w:pPr>
    </w:p>
    <w:p w14:paraId="60015FA9" w14:textId="77777777" w:rsidR="002A328E" w:rsidRPr="002A328E" w:rsidRDefault="002A328E" w:rsidP="00561E06">
      <w:pPr>
        <w:pStyle w:val="EndNoteBibliography"/>
        <w:ind w:left="-426"/>
        <w:rPr>
          <w:szCs w:val="24"/>
        </w:rPr>
      </w:pPr>
      <w:r w:rsidRPr="002A328E">
        <w:rPr>
          <w:szCs w:val="24"/>
        </w:rPr>
        <w:t>112. Arver S, Luong B, Fraschke A, Ghatnekar O, Stanisic S, Gultyev D, et al. Is testosterone replacement therapy in males with hypogonadism cost-effective? An analysis in Sweden. J Sex Med. 2014;11(1):262-72.</w:t>
      </w:r>
    </w:p>
    <w:p w14:paraId="2FBFB6C1" w14:textId="77777777" w:rsidR="002A328E" w:rsidRPr="002A328E" w:rsidRDefault="002A328E" w:rsidP="00561E06">
      <w:pPr>
        <w:pStyle w:val="EndNoteBibliography"/>
        <w:spacing w:after="0"/>
        <w:ind w:left="-426"/>
        <w:rPr>
          <w:szCs w:val="24"/>
        </w:rPr>
      </w:pPr>
    </w:p>
    <w:p w14:paraId="68D2D437" w14:textId="77777777" w:rsidR="002A328E" w:rsidRPr="002A328E" w:rsidRDefault="002A328E" w:rsidP="00561E06">
      <w:pPr>
        <w:pStyle w:val="EndNoteBibliography"/>
        <w:ind w:left="-426"/>
        <w:rPr>
          <w:szCs w:val="24"/>
        </w:rPr>
      </w:pPr>
      <w:r w:rsidRPr="002A328E">
        <w:rPr>
          <w:szCs w:val="24"/>
        </w:rPr>
        <w:t>113. TreeAge Software LLC. TreeAge Pro. Williamstown, MA, USA: TreeAge Software LLC; 2020.</w:t>
      </w:r>
    </w:p>
    <w:p w14:paraId="7B243478" w14:textId="77777777" w:rsidR="002A328E" w:rsidRPr="002A328E" w:rsidRDefault="002A328E" w:rsidP="00561E06">
      <w:pPr>
        <w:pStyle w:val="EndNoteBibliography"/>
        <w:spacing w:after="0"/>
        <w:ind w:left="-426"/>
        <w:rPr>
          <w:szCs w:val="24"/>
        </w:rPr>
      </w:pPr>
    </w:p>
    <w:p w14:paraId="36FDCE6A" w14:textId="6339B34C" w:rsidR="002A328E" w:rsidRPr="002A328E" w:rsidRDefault="002A328E" w:rsidP="00561E06">
      <w:pPr>
        <w:pStyle w:val="EndNoteBibliography"/>
        <w:ind w:left="-426"/>
        <w:rPr>
          <w:szCs w:val="24"/>
        </w:rPr>
      </w:pPr>
      <w:r w:rsidRPr="002A328E">
        <w:rPr>
          <w:szCs w:val="24"/>
        </w:rPr>
        <w:t xml:space="preserve">114. National Institute for Health and Care Excellence. Guide to the methods of technology appraisal [PMG9] 2013 updated 4 March 2020. Available from: </w:t>
      </w:r>
      <w:r w:rsidRPr="00E038D5">
        <w:rPr>
          <w:szCs w:val="24"/>
        </w:rPr>
        <w:t>https://www.nice.org.uk/process/pmg9/chapter/foreword</w:t>
      </w:r>
      <w:r w:rsidRPr="002A328E">
        <w:rPr>
          <w:szCs w:val="24"/>
        </w:rPr>
        <w:t xml:space="preserve"> (Accessed August 2021).</w:t>
      </w:r>
    </w:p>
    <w:p w14:paraId="41E484DC" w14:textId="77777777" w:rsidR="002A328E" w:rsidRPr="002A328E" w:rsidRDefault="002A328E" w:rsidP="00561E06">
      <w:pPr>
        <w:pStyle w:val="EndNoteBibliography"/>
        <w:spacing w:after="0"/>
        <w:ind w:left="-426"/>
        <w:rPr>
          <w:szCs w:val="24"/>
        </w:rPr>
      </w:pPr>
    </w:p>
    <w:p w14:paraId="76C9C948" w14:textId="155CCAE2" w:rsidR="002A328E" w:rsidRPr="002A328E" w:rsidRDefault="002A328E" w:rsidP="00561E06">
      <w:pPr>
        <w:pStyle w:val="EndNoteBibliography"/>
        <w:ind w:left="-426"/>
        <w:rPr>
          <w:szCs w:val="24"/>
        </w:rPr>
      </w:pPr>
      <w:r w:rsidRPr="002A328E">
        <w:rPr>
          <w:szCs w:val="24"/>
        </w:rPr>
        <w:t xml:space="preserve">115. British Heart Foundation. Heart &amp; Circulatory Disease Statistics 2020 2020. Available from: </w:t>
      </w:r>
      <w:r w:rsidRPr="00E038D5">
        <w:rPr>
          <w:szCs w:val="24"/>
        </w:rPr>
        <w:t>https://www.bhf.org.uk/what-we-do/our-research/heart-statistics/heart-statistics-publications/cardiovascular-disease-statistics-2020</w:t>
      </w:r>
      <w:r w:rsidRPr="002A328E">
        <w:rPr>
          <w:szCs w:val="24"/>
        </w:rPr>
        <w:t xml:space="preserve"> (Accessed August 2021).</w:t>
      </w:r>
    </w:p>
    <w:p w14:paraId="363BB56F" w14:textId="77777777" w:rsidR="002A328E" w:rsidRPr="002A328E" w:rsidRDefault="002A328E" w:rsidP="00561E06">
      <w:pPr>
        <w:pStyle w:val="EndNoteBibliography"/>
        <w:spacing w:after="0"/>
        <w:ind w:left="-426"/>
        <w:rPr>
          <w:szCs w:val="24"/>
        </w:rPr>
      </w:pPr>
    </w:p>
    <w:p w14:paraId="2BAC3AEB" w14:textId="117CA96B" w:rsidR="002A328E" w:rsidRPr="002A328E" w:rsidRDefault="002A328E" w:rsidP="00561E06">
      <w:pPr>
        <w:pStyle w:val="EndNoteBibliography"/>
        <w:ind w:left="-426"/>
        <w:rPr>
          <w:szCs w:val="24"/>
        </w:rPr>
      </w:pPr>
      <w:r w:rsidRPr="002A328E">
        <w:rPr>
          <w:szCs w:val="24"/>
        </w:rPr>
        <w:t xml:space="preserve">116. Office for National Statistics. National life tables: UK 2020. Available from: </w:t>
      </w:r>
      <w:r w:rsidRPr="00E038D5">
        <w:rPr>
          <w:szCs w:val="24"/>
        </w:rPr>
        <w:t>https://www.ons.gov.uk/peoplepopulationandcommunity/birthsdeathsandmarriages/lifeexpectancies/datasets/nationallifetablesunitedkingdomreferencetables</w:t>
      </w:r>
      <w:r w:rsidRPr="002A328E">
        <w:rPr>
          <w:szCs w:val="24"/>
        </w:rPr>
        <w:t xml:space="preserve"> (Accessed August 2021).</w:t>
      </w:r>
    </w:p>
    <w:p w14:paraId="095D09D0" w14:textId="77777777" w:rsidR="002A328E" w:rsidRPr="002A328E" w:rsidRDefault="002A328E" w:rsidP="00561E06">
      <w:pPr>
        <w:pStyle w:val="EndNoteBibliography"/>
        <w:spacing w:after="0"/>
        <w:ind w:left="-426"/>
        <w:rPr>
          <w:szCs w:val="24"/>
        </w:rPr>
      </w:pPr>
    </w:p>
    <w:p w14:paraId="514E2C21" w14:textId="5B9CFB1C" w:rsidR="002A328E" w:rsidRPr="002A328E" w:rsidRDefault="002A328E" w:rsidP="00561E06">
      <w:pPr>
        <w:pStyle w:val="EndNoteBibliography"/>
        <w:ind w:left="-426"/>
        <w:rPr>
          <w:szCs w:val="24"/>
        </w:rPr>
      </w:pPr>
      <w:r w:rsidRPr="002A328E">
        <w:rPr>
          <w:szCs w:val="24"/>
        </w:rPr>
        <w:t xml:space="preserve">117. National Institute for Health and Care Excellence. Acute coronary syndromes cost-effectiveness analysis: Which dual antiplatelet therapy is most cost effective for managing unstable angina or NSTEMI or for managing STEMI in adults undergoing PCI? (NG185). London/Manchester: National Institute for Health and Care Excellence; 2020. Available from: </w:t>
      </w:r>
      <w:r w:rsidRPr="00E038D5">
        <w:rPr>
          <w:szCs w:val="24"/>
        </w:rPr>
        <w:t>https://www.nice.org.uk/guidance/ng185/evidence/health-economic-analysis-for-dual-antiplatelet-therapy-pdf-8903834893</w:t>
      </w:r>
      <w:r w:rsidRPr="002A328E">
        <w:rPr>
          <w:szCs w:val="24"/>
        </w:rPr>
        <w:t>.</w:t>
      </w:r>
      <w:r w:rsidR="00D73245">
        <w:rPr>
          <w:szCs w:val="24"/>
        </w:rPr>
        <w:t xml:space="preserve"> (Accessed 9 September 2020)</w:t>
      </w:r>
    </w:p>
    <w:p w14:paraId="3EFFD756" w14:textId="77777777" w:rsidR="002A328E" w:rsidRPr="002A328E" w:rsidRDefault="002A328E" w:rsidP="00561E06">
      <w:pPr>
        <w:pStyle w:val="EndNoteBibliography"/>
        <w:spacing w:after="0"/>
        <w:ind w:left="-426"/>
        <w:rPr>
          <w:szCs w:val="24"/>
        </w:rPr>
      </w:pPr>
    </w:p>
    <w:p w14:paraId="77F4E6EA" w14:textId="77777777" w:rsidR="002A328E" w:rsidRPr="002A328E" w:rsidRDefault="002A328E" w:rsidP="00561E06">
      <w:pPr>
        <w:pStyle w:val="EndNoteBibliography"/>
        <w:ind w:left="-426"/>
        <w:rPr>
          <w:szCs w:val="24"/>
        </w:rPr>
      </w:pPr>
      <w:r w:rsidRPr="002A328E">
        <w:rPr>
          <w:szCs w:val="24"/>
        </w:rPr>
        <w:t>118. Smolina K, Wright FL, Rayner M, Goldacre MJ. Long-term survival and recurrence after acute myocardial infarction in England, 2004 to 2010. Circ Cardiovasc Qual Outcomes. 2012;5(4):532-40.</w:t>
      </w:r>
    </w:p>
    <w:p w14:paraId="094B95B3" w14:textId="77777777" w:rsidR="002A328E" w:rsidRPr="002A328E" w:rsidRDefault="002A328E" w:rsidP="00561E06">
      <w:pPr>
        <w:pStyle w:val="EndNoteBibliography"/>
        <w:spacing w:after="0"/>
        <w:ind w:left="-426"/>
        <w:rPr>
          <w:szCs w:val="24"/>
        </w:rPr>
      </w:pPr>
    </w:p>
    <w:p w14:paraId="33BA9CB7" w14:textId="77777777" w:rsidR="002A328E" w:rsidRPr="002A328E" w:rsidRDefault="002A328E" w:rsidP="00561E06">
      <w:pPr>
        <w:pStyle w:val="EndNoteBibliography"/>
        <w:ind w:left="-426"/>
        <w:rPr>
          <w:szCs w:val="24"/>
        </w:rPr>
      </w:pPr>
      <w:r w:rsidRPr="002A328E">
        <w:rPr>
          <w:szCs w:val="24"/>
        </w:rPr>
        <w:t>119. Brønnum-Hansen H, Davidsen M, Thorvaldsen P. Long-term survival and causes of death after stroke. Stroke. 2001;32(9):2131-6.</w:t>
      </w:r>
    </w:p>
    <w:p w14:paraId="191AE429" w14:textId="77777777" w:rsidR="002A328E" w:rsidRPr="002A328E" w:rsidRDefault="002A328E" w:rsidP="00561E06">
      <w:pPr>
        <w:pStyle w:val="EndNoteBibliography"/>
        <w:spacing w:after="0"/>
        <w:ind w:left="-426"/>
        <w:rPr>
          <w:szCs w:val="24"/>
        </w:rPr>
      </w:pPr>
    </w:p>
    <w:p w14:paraId="37AFBDE8" w14:textId="3AD645E5" w:rsidR="002A328E" w:rsidRPr="002A328E" w:rsidRDefault="002A328E" w:rsidP="00561E06">
      <w:pPr>
        <w:pStyle w:val="EndNoteBibliography"/>
        <w:ind w:left="-426"/>
        <w:rPr>
          <w:szCs w:val="24"/>
        </w:rPr>
      </w:pPr>
      <w:r w:rsidRPr="002A328E">
        <w:rPr>
          <w:szCs w:val="24"/>
        </w:rPr>
        <w:t xml:space="preserve">120. Health Economics Research Centre. HERC database of mapping studies 2020. Available from: </w:t>
      </w:r>
      <w:r w:rsidRPr="00E038D5">
        <w:rPr>
          <w:szCs w:val="24"/>
        </w:rPr>
        <w:t>https://www.herc.ox.ac.uk/downloads/herc-database-of-mapping-studies</w:t>
      </w:r>
      <w:r w:rsidRPr="002A328E">
        <w:rPr>
          <w:szCs w:val="24"/>
        </w:rPr>
        <w:t xml:space="preserve"> (Accessed August 2021).</w:t>
      </w:r>
    </w:p>
    <w:p w14:paraId="6C152BEB" w14:textId="77777777" w:rsidR="002A328E" w:rsidRPr="002A328E" w:rsidRDefault="002A328E" w:rsidP="00561E06">
      <w:pPr>
        <w:pStyle w:val="EndNoteBibliography"/>
        <w:spacing w:after="0"/>
        <w:ind w:left="-426"/>
        <w:rPr>
          <w:szCs w:val="24"/>
        </w:rPr>
      </w:pPr>
    </w:p>
    <w:p w14:paraId="0342D0E2" w14:textId="16B7709F" w:rsidR="002A328E" w:rsidRPr="002A328E" w:rsidRDefault="002A328E" w:rsidP="00561E06">
      <w:pPr>
        <w:pStyle w:val="EndNoteBibliography"/>
        <w:ind w:left="-426"/>
        <w:rPr>
          <w:szCs w:val="24"/>
        </w:rPr>
      </w:pPr>
      <w:r w:rsidRPr="002A328E">
        <w:rPr>
          <w:szCs w:val="24"/>
        </w:rPr>
        <w:t xml:space="preserve">121. University of Sheffield: School of Health and Related Research. Measuring and Valuing Health. Available from: </w:t>
      </w:r>
      <w:r w:rsidRPr="00E038D5">
        <w:rPr>
          <w:szCs w:val="24"/>
        </w:rPr>
        <w:t>https://www.sheffield.ac.uk/scharr/research/themes/valuing-health#SF-6D</w:t>
      </w:r>
      <w:r w:rsidRPr="002A328E">
        <w:rPr>
          <w:szCs w:val="24"/>
        </w:rPr>
        <w:t xml:space="preserve"> (Accessed 2 September 2021).</w:t>
      </w:r>
    </w:p>
    <w:p w14:paraId="355420FB" w14:textId="77777777" w:rsidR="002A328E" w:rsidRPr="002A328E" w:rsidRDefault="002A328E" w:rsidP="00561E06">
      <w:pPr>
        <w:pStyle w:val="EndNoteBibliography"/>
        <w:spacing w:after="0"/>
        <w:ind w:left="-426"/>
        <w:rPr>
          <w:szCs w:val="24"/>
        </w:rPr>
      </w:pPr>
    </w:p>
    <w:p w14:paraId="7781FD79" w14:textId="77777777" w:rsidR="002A328E" w:rsidRPr="002A328E" w:rsidRDefault="002A328E" w:rsidP="00561E06">
      <w:pPr>
        <w:pStyle w:val="EndNoteBibliography"/>
        <w:ind w:left="-426"/>
        <w:rPr>
          <w:szCs w:val="24"/>
        </w:rPr>
      </w:pPr>
      <w:r w:rsidRPr="002A328E">
        <w:rPr>
          <w:szCs w:val="24"/>
        </w:rPr>
        <w:t>122. van den Berg B. SF-6D population norms. Health Econ. 2012;21(12):1508-12.</w:t>
      </w:r>
    </w:p>
    <w:p w14:paraId="50E5F5F4" w14:textId="77777777" w:rsidR="002A328E" w:rsidRPr="002A328E" w:rsidRDefault="002A328E" w:rsidP="00561E06">
      <w:pPr>
        <w:pStyle w:val="EndNoteBibliography"/>
        <w:spacing w:after="0"/>
        <w:ind w:left="-426"/>
        <w:rPr>
          <w:szCs w:val="24"/>
        </w:rPr>
      </w:pPr>
    </w:p>
    <w:p w14:paraId="21197A2B" w14:textId="77777777" w:rsidR="002A328E" w:rsidRPr="002A328E" w:rsidRDefault="002A328E" w:rsidP="00561E06">
      <w:pPr>
        <w:pStyle w:val="EndNoteBibliography"/>
        <w:ind w:left="-426"/>
        <w:rPr>
          <w:szCs w:val="24"/>
        </w:rPr>
      </w:pPr>
      <w:r w:rsidRPr="002A328E">
        <w:rPr>
          <w:szCs w:val="24"/>
        </w:rPr>
        <w:t>123. Ara R, Brazier JE. Populating an economic model with health state utility values: moving toward better practice. Value Health. 2010;13(5):509-18.</w:t>
      </w:r>
    </w:p>
    <w:p w14:paraId="69708601" w14:textId="77777777" w:rsidR="002A328E" w:rsidRPr="002A328E" w:rsidRDefault="002A328E" w:rsidP="00561E06">
      <w:pPr>
        <w:pStyle w:val="EndNoteBibliography"/>
        <w:spacing w:after="0"/>
        <w:ind w:left="-426"/>
        <w:rPr>
          <w:szCs w:val="24"/>
        </w:rPr>
      </w:pPr>
    </w:p>
    <w:p w14:paraId="1CD1D205" w14:textId="77777777" w:rsidR="002A328E" w:rsidRPr="002A328E" w:rsidRDefault="002A328E" w:rsidP="00561E06">
      <w:pPr>
        <w:pStyle w:val="EndNoteBibliography"/>
        <w:ind w:left="-426"/>
        <w:rPr>
          <w:szCs w:val="24"/>
        </w:rPr>
      </w:pPr>
      <w:r w:rsidRPr="002A328E">
        <w:rPr>
          <w:szCs w:val="24"/>
        </w:rPr>
        <w:t>124. Agledahl I, Hansen JB, Svartberg J. Impact of testosterone treatment on postprandial triglyceride metabolism in elderly men with subnormal testosterone levels. Scand J Clin Lab Invest. 2008;68(7):641-8.</w:t>
      </w:r>
    </w:p>
    <w:p w14:paraId="3872D4BF" w14:textId="77777777" w:rsidR="002A328E" w:rsidRPr="002A328E" w:rsidRDefault="002A328E" w:rsidP="00561E06">
      <w:pPr>
        <w:pStyle w:val="EndNoteBibliography"/>
        <w:spacing w:after="0"/>
        <w:ind w:left="-426"/>
        <w:rPr>
          <w:szCs w:val="24"/>
        </w:rPr>
      </w:pPr>
    </w:p>
    <w:p w14:paraId="28586F71" w14:textId="77777777" w:rsidR="002A328E" w:rsidRPr="002A328E" w:rsidRDefault="002A328E" w:rsidP="00561E06">
      <w:pPr>
        <w:pStyle w:val="EndNoteBibliography"/>
        <w:ind w:left="-426"/>
        <w:rPr>
          <w:szCs w:val="24"/>
        </w:rPr>
      </w:pPr>
      <w:r w:rsidRPr="002A328E">
        <w:rPr>
          <w:szCs w:val="24"/>
        </w:rPr>
        <w:t>125. Sajatovic M, Chen P, Young R. Rating Scales in Bipolar Disorder. In: Tohen M, Bowden CL, Nierenberg AA, Geddes JR, editors. Clinical Trial Design Challenges in Mood Disorders. Amsterdam: Academic Press; 2015.</w:t>
      </w:r>
    </w:p>
    <w:p w14:paraId="63B80389" w14:textId="77777777" w:rsidR="002A328E" w:rsidRPr="002A328E" w:rsidRDefault="002A328E" w:rsidP="00561E06">
      <w:pPr>
        <w:pStyle w:val="EndNoteBibliography"/>
        <w:spacing w:after="0"/>
        <w:ind w:left="-426"/>
        <w:rPr>
          <w:szCs w:val="24"/>
        </w:rPr>
      </w:pPr>
    </w:p>
    <w:p w14:paraId="256C9588" w14:textId="77777777" w:rsidR="002A328E" w:rsidRPr="002A328E" w:rsidRDefault="002A328E" w:rsidP="00561E06">
      <w:pPr>
        <w:pStyle w:val="EndNoteBibliography"/>
        <w:ind w:left="-426"/>
        <w:rPr>
          <w:szCs w:val="24"/>
        </w:rPr>
      </w:pPr>
      <w:r w:rsidRPr="002A328E">
        <w:rPr>
          <w:szCs w:val="24"/>
        </w:rPr>
        <w:t>126. Grochtdreis T, Brettschneider C, Hajek A, Schierz K, Hoyer J, Koenig HH. Mapping the Beck Depression Inventory to the EQ-5D-3L in patients with depressive disorders. J Ment Health Policy Econ. 2016;19(2):79-89.</w:t>
      </w:r>
    </w:p>
    <w:p w14:paraId="51B1586C" w14:textId="77777777" w:rsidR="002A328E" w:rsidRPr="002A328E" w:rsidRDefault="002A328E" w:rsidP="00561E06">
      <w:pPr>
        <w:pStyle w:val="EndNoteBibliography"/>
        <w:spacing w:after="0"/>
        <w:ind w:left="-426"/>
        <w:rPr>
          <w:szCs w:val="24"/>
        </w:rPr>
      </w:pPr>
    </w:p>
    <w:p w14:paraId="1B9A1528" w14:textId="77777777" w:rsidR="002A328E" w:rsidRPr="002A328E" w:rsidRDefault="002A328E" w:rsidP="00561E06">
      <w:pPr>
        <w:pStyle w:val="EndNoteBibliography"/>
        <w:ind w:left="-426"/>
        <w:rPr>
          <w:szCs w:val="24"/>
        </w:rPr>
      </w:pPr>
      <w:r w:rsidRPr="002A328E">
        <w:rPr>
          <w:szCs w:val="24"/>
        </w:rPr>
        <w:t>127. Stolk EA, Busschbach JJ, Caffa M, Meuleman EJ, Rutten FF. Cost utility analysis of sildenafil compared with papaverine-phentolamine injections. BMJ. 2000;320(7243):1165-8.</w:t>
      </w:r>
    </w:p>
    <w:p w14:paraId="012A64EB" w14:textId="77777777" w:rsidR="002A328E" w:rsidRPr="002A328E" w:rsidRDefault="002A328E" w:rsidP="00561E06">
      <w:pPr>
        <w:pStyle w:val="EndNoteBibliography"/>
        <w:spacing w:after="0"/>
        <w:ind w:left="-426"/>
        <w:rPr>
          <w:szCs w:val="24"/>
        </w:rPr>
      </w:pPr>
    </w:p>
    <w:p w14:paraId="526E467D" w14:textId="77777777" w:rsidR="002A328E" w:rsidRPr="002A328E" w:rsidRDefault="002A328E" w:rsidP="00561E06">
      <w:pPr>
        <w:pStyle w:val="EndNoteBibliography"/>
        <w:ind w:left="-426"/>
        <w:rPr>
          <w:szCs w:val="24"/>
        </w:rPr>
      </w:pPr>
      <w:r w:rsidRPr="002A328E">
        <w:rPr>
          <w:szCs w:val="24"/>
        </w:rPr>
        <w:t>128. Heald AH, Stedman M, Whyte M, Livingston M, Albanese M, Ramachandran S, et al. Lessons learnt from the variation across 6741 family/general practices in England in the use of treatments for hypogonadism. Clin Endocrinol (Oxf). 2021;94(5):827-36.</w:t>
      </w:r>
    </w:p>
    <w:p w14:paraId="6B930F50" w14:textId="77777777" w:rsidR="002A328E" w:rsidRPr="002A328E" w:rsidRDefault="002A328E" w:rsidP="00561E06">
      <w:pPr>
        <w:pStyle w:val="EndNoteBibliography"/>
        <w:spacing w:after="0"/>
        <w:ind w:left="-426"/>
        <w:rPr>
          <w:szCs w:val="24"/>
        </w:rPr>
      </w:pPr>
    </w:p>
    <w:p w14:paraId="03BF5692" w14:textId="5D17CDCE" w:rsidR="002A328E" w:rsidRPr="002A328E" w:rsidRDefault="002A328E" w:rsidP="00561E06">
      <w:pPr>
        <w:pStyle w:val="EndNoteBibliography"/>
        <w:ind w:left="-426"/>
        <w:rPr>
          <w:szCs w:val="24"/>
        </w:rPr>
      </w:pPr>
      <w:r w:rsidRPr="002A328E">
        <w:rPr>
          <w:szCs w:val="24"/>
        </w:rPr>
        <w:t xml:space="preserve">129. Electronic Medicines Compendium. Testogel 16.2mg/g gel 2015. Available from: </w:t>
      </w:r>
      <w:r w:rsidRPr="00E038D5">
        <w:rPr>
          <w:szCs w:val="24"/>
        </w:rPr>
        <w:t>https://www.medicines.org.uk/emc/product/8919#gref</w:t>
      </w:r>
      <w:r w:rsidRPr="002A328E">
        <w:rPr>
          <w:szCs w:val="24"/>
        </w:rPr>
        <w:t xml:space="preserve"> (Accessed August 2021).</w:t>
      </w:r>
    </w:p>
    <w:p w14:paraId="5E68BEBB" w14:textId="77777777" w:rsidR="002A328E" w:rsidRPr="002A328E" w:rsidRDefault="002A328E" w:rsidP="00561E06">
      <w:pPr>
        <w:pStyle w:val="EndNoteBibliography"/>
        <w:spacing w:after="0"/>
        <w:ind w:left="-426"/>
        <w:rPr>
          <w:szCs w:val="24"/>
        </w:rPr>
      </w:pPr>
    </w:p>
    <w:p w14:paraId="736A05C4" w14:textId="41E7A5A3" w:rsidR="002A328E" w:rsidRPr="002A328E" w:rsidRDefault="002A328E" w:rsidP="00561E06">
      <w:pPr>
        <w:pStyle w:val="EndNoteBibliography"/>
        <w:ind w:left="-426"/>
        <w:rPr>
          <w:szCs w:val="24"/>
        </w:rPr>
      </w:pPr>
      <w:r w:rsidRPr="002A328E">
        <w:rPr>
          <w:szCs w:val="24"/>
        </w:rPr>
        <w:t xml:space="preserve">130. Nottinghamshire Area Prescribing Committee. Testosterone replacement therapy for adult male hypogonadism 2020. Available from: </w:t>
      </w:r>
      <w:r w:rsidRPr="00E038D5">
        <w:rPr>
          <w:szCs w:val="24"/>
        </w:rPr>
        <w:t>https://www.nottsapc.nhs.uk/media/1261/testosterone-info-sheet.pdf?UNLID</w:t>
      </w:r>
      <w:r w:rsidRPr="002A328E">
        <w:rPr>
          <w:szCs w:val="24"/>
        </w:rPr>
        <w:t>= (Accessed August 2021).</w:t>
      </w:r>
    </w:p>
    <w:p w14:paraId="456C1761" w14:textId="77777777" w:rsidR="002A328E" w:rsidRPr="002A328E" w:rsidRDefault="002A328E" w:rsidP="00561E06">
      <w:pPr>
        <w:pStyle w:val="EndNoteBibliography"/>
        <w:spacing w:after="0"/>
        <w:ind w:left="-426"/>
        <w:rPr>
          <w:szCs w:val="24"/>
        </w:rPr>
      </w:pPr>
    </w:p>
    <w:p w14:paraId="5EC9C2B9" w14:textId="77777777" w:rsidR="002A328E" w:rsidRPr="002A328E" w:rsidRDefault="002A328E" w:rsidP="00561E06">
      <w:pPr>
        <w:pStyle w:val="EndNoteBibliography"/>
        <w:ind w:left="-426"/>
        <w:rPr>
          <w:szCs w:val="24"/>
        </w:rPr>
      </w:pPr>
      <w:r w:rsidRPr="002A328E">
        <w:rPr>
          <w:szCs w:val="24"/>
        </w:rPr>
        <w:t>131. Bell C, Hadi MA, Khanal S, Paudyal V. Prescribing patterns and costs associated with erectile dysfunction drugs in England: a time trend analysis. BJGP Open. 2021;5(2).</w:t>
      </w:r>
    </w:p>
    <w:p w14:paraId="7D400EEA" w14:textId="77777777" w:rsidR="002A328E" w:rsidRPr="002A328E" w:rsidRDefault="002A328E" w:rsidP="00561E06">
      <w:pPr>
        <w:pStyle w:val="EndNoteBibliography"/>
        <w:spacing w:after="0"/>
        <w:ind w:left="-426"/>
        <w:rPr>
          <w:szCs w:val="24"/>
        </w:rPr>
      </w:pPr>
    </w:p>
    <w:p w14:paraId="1D8933CD" w14:textId="48A8782B" w:rsidR="002A328E" w:rsidRPr="002A328E" w:rsidRDefault="002A328E" w:rsidP="00561E06">
      <w:pPr>
        <w:pStyle w:val="EndNoteBibliography"/>
        <w:ind w:left="-426"/>
        <w:rPr>
          <w:szCs w:val="24"/>
        </w:rPr>
      </w:pPr>
      <w:r w:rsidRPr="002A328E">
        <w:rPr>
          <w:szCs w:val="24"/>
        </w:rPr>
        <w:t xml:space="preserve">132. Medicines Complete. British National Formulary London: Royal Pharmaceutical Society; 2018. Available from: </w:t>
      </w:r>
      <w:r w:rsidRPr="00E038D5">
        <w:rPr>
          <w:szCs w:val="24"/>
        </w:rPr>
        <w:t>https://www.medicinescomplete.com/mc/bnf/current/index.htm</w:t>
      </w:r>
      <w:r w:rsidRPr="002A328E">
        <w:rPr>
          <w:szCs w:val="24"/>
        </w:rPr>
        <w:t xml:space="preserve"> (Accessed 4 March 2020).</w:t>
      </w:r>
    </w:p>
    <w:p w14:paraId="3394FEA3" w14:textId="77777777" w:rsidR="002A328E" w:rsidRPr="002A328E" w:rsidRDefault="002A328E" w:rsidP="00561E06">
      <w:pPr>
        <w:pStyle w:val="EndNoteBibliography"/>
        <w:spacing w:after="0"/>
        <w:ind w:left="-426"/>
        <w:rPr>
          <w:szCs w:val="24"/>
        </w:rPr>
      </w:pPr>
    </w:p>
    <w:p w14:paraId="75F991C5" w14:textId="3794C5B2" w:rsidR="002A328E" w:rsidRPr="002A328E" w:rsidRDefault="002A328E" w:rsidP="00561E06">
      <w:pPr>
        <w:pStyle w:val="EndNoteBibliography"/>
        <w:ind w:left="-426"/>
        <w:rPr>
          <w:szCs w:val="24"/>
        </w:rPr>
      </w:pPr>
      <w:r w:rsidRPr="002A328E">
        <w:rPr>
          <w:szCs w:val="24"/>
        </w:rPr>
        <w:t xml:space="preserve">133. Larsen K. Graphreader. Available from: </w:t>
      </w:r>
      <w:r w:rsidRPr="00E038D5">
        <w:rPr>
          <w:szCs w:val="24"/>
        </w:rPr>
        <w:t>https://www.graphreader.com/</w:t>
      </w:r>
      <w:r w:rsidRPr="002A328E">
        <w:rPr>
          <w:szCs w:val="24"/>
        </w:rPr>
        <w:t xml:space="preserve"> (Accessed August 2021).</w:t>
      </w:r>
    </w:p>
    <w:p w14:paraId="025A3B9D" w14:textId="77777777" w:rsidR="002A328E" w:rsidRPr="002A328E" w:rsidRDefault="002A328E" w:rsidP="00561E06">
      <w:pPr>
        <w:pStyle w:val="EndNoteBibliography"/>
        <w:spacing w:after="0"/>
        <w:ind w:left="-426"/>
        <w:rPr>
          <w:szCs w:val="24"/>
        </w:rPr>
      </w:pPr>
    </w:p>
    <w:p w14:paraId="5AADB20D" w14:textId="77777777" w:rsidR="002A328E" w:rsidRPr="002A328E" w:rsidRDefault="002A328E" w:rsidP="00561E06">
      <w:pPr>
        <w:pStyle w:val="EndNoteBibliography"/>
        <w:ind w:left="-426"/>
        <w:rPr>
          <w:szCs w:val="24"/>
        </w:rPr>
      </w:pPr>
      <w:r w:rsidRPr="002A328E">
        <w:rPr>
          <w:szCs w:val="24"/>
        </w:rPr>
        <w:t>134. Morales A, Johnston B, Heaton JP, Lundie M. Testosterone supplementation for hypogonadal impotence: assessment of biochemical measures and therapeutic outcomes. J Urol. 1997;157(3):849-54.</w:t>
      </w:r>
    </w:p>
    <w:p w14:paraId="54948985" w14:textId="77777777" w:rsidR="002A328E" w:rsidRPr="002A328E" w:rsidRDefault="002A328E" w:rsidP="00561E06">
      <w:pPr>
        <w:pStyle w:val="EndNoteBibliography"/>
        <w:spacing w:after="0"/>
        <w:ind w:left="-426"/>
        <w:rPr>
          <w:szCs w:val="24"/>
        </w:rPr>
      </w:pPr>
    </w:p>
    <w:p w14:paraId="616C9A44" w14:textId="03C96606" w:rsidR="002A328E" w:rsidRPr="002A328E" w:rsidRDefault="002A328E" w:rsidP="00561E06">
      <w:pPr>
        <w:pStyle w:val="EndNoteBibliography"/>
        <w:ind w:left="-426"/>
        <w:rPr>
          <w:szCs w:val="24"/>
        </w:rPr>
      </w:pPr>
      <w:r w:rsidRPr="002A328E">
        <w:rPr>
          <w:szCs w:val="24"/>
        </w:rPr>
        <w:t xml:space="preserve">135. National Clinical Guideline Centre. Appendix L: Cost-effectiveness analysis: low-intensity, medium-intensity and high-intensity statin treatment for the primary and secondary prevention of CVD (CG181). London: National Clinical Guideline Centre; 2014. Available from: </w:t>
      </w:r>
      <w:r w:rsidRPr="00E038D5">
        <w:rPr>
          <w:szCs w:val="24"/>
        </w:rPr>
        <w:t>https://www.nice.org.uk/guidance/cg181/evidence/lipid-modification-update-appendices-pdf-243786638</w:t>
      </w:r>
      <w:r w:rsidRPr="002A328E">
        <w:rPr>
          <w:szCs w:val="24"/>
        </w:rPr>
        <w:t>.</w:t>
      </w:r>
      <w:r w:rsidR="00D73245">
        <w:rPr>
          <w:szCs w:val="24"/>
        </w:rPr>
        <w:t xml:space="preserve"> (Accessed 9 September 2020)</w:t>
      </w:r>
    </w:p>
    <w:p w14:paraId="1E671293" w14:textId="77777777" w:rsidR="002A328E" w:rsidRPr="002A328E" w:rsidRDefault="002A328E" w:rsidP="00561E06">
      <w:pPr>
        <w:pStyle w:val="EndNoteBibliography"/>
        <w:spacing w:after="0"/>
        <w:ind w:left="-426"/>
        <w:rPr>
          <w:szCs w:val="24"/>
        </w:rPr>
      </w:pPr>
    </w:p>
    <w:p w14:paraId="73404C25" w14:textId="79FF8664" w:rsidR="002A328E" w:rsidRPr="002A328E" w:rsidRDefault="002A328E" w:rsidP="00561E06">
      <w:pPr>
        <w:pStyle w:val="EndNoteBibliography"/>
        <w:ind w:left="-426"/>
        <w:rPr>
          <w:szCs w:val="24"/>
        </w:rPr>
      </w:pPr>
      <w:r w:rsidRPr="002A328E">
        <w:rPr>
          <w:szCs w:val="24"/>
        </w:rPr>
        <w:t xml:space="preserve">136. National Institute for Health and Care Excellence. Peripheral arterial disease: diagnosis and management [CG147] 2012. Available from: </w:t>
      </w:r>
      <w:r w:rsidRPr="00E038D5">
        <w:rPr>
          <w:szCs w:val="24"/>
        </w:rPr>
        <w:t>https://www.nice.org.uk/guidance/cg147</w:t>
      </w:r>
      <w:r w:rsidRPr="002A328E">
        <w:rPr>
          <w:szCs w:val="24"/>
        </w:rPr>
        <w:t xml:space="preserve"> (Accessed August 2021).</w:t>
      </w:r>
    </w:p>
    <w:p w14:paraId="04B610DF" w14:textId="77777777" w:rsidR="002A328E" w:rsidRPr="002A328E" w:rsidRDefault="002A328E" w:rsidP="00561E06">
      <w:pPr>
        <w:pStyle w:val="EndNoteBibliography"/>
        <w:spacing w:after="0"/>
        <w:ind w:left="-426"/>
        <w:rPr>
          <w:szCs w:val="24"/>
        </w:rPr>
      </w:pPr>
    </w:p>
    <w:p w14:paraId="57B1DE01" w14:textId="3A2DCEF3" w:rsidR="002A328E" w:rsidRPr="002A328E" w:rsidRDefault="002A328E" w:rsidP="00561E06">
      <w:pPr>
        <w:pStyle w:val="EndNoteBibliography"/>
        <w:ind w:left="-426"/>
        <w:rPr>
          <w:szCs w:val="24"/>
        </w:rPr>
      </w:pPr>
      <w:r w:rsidRPr="002A328E">
        <w:rPr>
          <w:szCs w:val="24"/>
        </w:rPr>
        <w:t xml:space="preserve">137. National Institute for Health and Care Excellence. Abdominal aortic aneurysm: diagnosis and management. NICE guideline: health economics (NG156). London/Manchester: National Institute for Health and Care Excellence; 2020. Available from: </w:t>
      </w:r>
      <w:r w:rsidRPr="00E038D5">
        <w:rPr>
          <w:szCs w:val="24"/>
        </w:rPr>
        <w:t>https://www.nice.org.uk/guidance/ng156/evidence/y-health-economics-appendix-pdf-255167681407</w:t>
      </w:r>
      <w:r w:rsidRPr="002A328E">
        <w:rPr>
          <w:szCs w:val="24"/>
        </w:rPr>
        <w:t>.</w:t>
      </w:r>
      <w:r w:rsidR="00D73245">
        <w:rPr>
          <w:szCs w:val="24"/>
        </w:rPr>
        <w:t xml:space="preserve"> (Accessed 9 September 2020)</w:t>
      </w:r>
    </w:p>
    <w:p w14:paraId="5D9E9F88" w14:textId="77777777" w:rsidR="002A328E" w:rsidRPr="002A328E" w:rsidRDefault="002A328E" w:rsidP="00561E06">
      <w:pPr>
        <w:pStyle w:val="EndNoteBibliography"/>
        <w:spacing w:after="0"/>
        <w:ind w:left="-426"/>
        <w:rPr>
          <w:szCs w:val="24"/>
        </w:rPr>
      </w:pPr>
    </w:p>
    <w:p w14:paraId="295B1613" w14:textId="6F6C63B2" w:rsidR="002A328E" w:rsidRPr="002A328E" w:rsidRDefault="002A328E" w:rsidP="00561E06">
      <w:pPr>
        <w:pStyle w:val="EndNoteBibliography"/>
        <w:ind w:left="-426"/>
        <w:rPr>
          <w:szCs w:val="24"/>
        </w:rPr>
      </w:pPr>
      <w:r w:rsidRPr="002A328E">
        <w:rPr>
          <w:szCs w:val="24"/>
        </w:rPr>
        <w:t xml:space="preserve">138. National Institute for Health and Care Excellence. Atrial fibrillation and heart valve disease: self-monitoring coagulation status using point-of-care coagulometers (the CoaguChek XS system) [DG14] 2014 updated 2017. Available from: </w:t>
      </w:r>
      <w:r w:rsidRPr="00E038D5">
        <w:rPr>
          <w:szCs w:val="24"/>
        </w:rPr>
        <w:t>https://www.nice.org.uk/guidance/dg14</w:t>
      </w:r>
      <w:r w:rsidRPr="002A328E">
        <w:rPr>
          <w:szCs w:val="24"/>
        </w:rPr>
        <w:t xml:space="preserve"> (Accessed August 2021).</w:t>
      </w:r>
    </w:p>
    <w:p w14:paraId="266A9F6F" w14:textId="77777777" w:rsidR="002A328E" w:rsidRPr="002A328E" w:rsidRDefault="002A328E" w:rsidP="00561E06">
      <w:pPr>
        <w:pStyle w:val="EndNoteBibliography"/>
        <w:spacing w:after="0"/>
        <w:ind w:left="-426"/>
        <w:rPr>
          <w:szCs w:val="24"/>
        </w:rPr>
      </w:pPr>
    </w:p>
    <w:p w14:paraId="63733891" w14:textId="77777777" w:rsidR="002A328E" w:rsidRPr="002A328E" w:rsidRDefault="002A328E" w:rsidP="00561E06">
      <w:pPr>
        <w:pStyle w:val="EndNoteBibliography"/>
        <w:ind w:left="-426"/>
        <w:rPr>
          <w:szCs w:val="24"/>
        </w:rPr>
      </w:pPr>
      <w:r w:rsidRPr="002A328E">
        <w:rPr>
          <w:szCs w:val="24"/>
        </w:rPr>
        <w:t>139. Perkins GD, Ji C, Achana F, Black JJ, Charlton K, Crawford J, et al. Adrenaline to improve survival in out-of-hospital cardiac arrest: the PARAMEDIC2 RCT. Health Technol Assess. 2021;25(25):1-166.</w:t>
      </w:r>
    </w:p>
    <w:p w14:paraId="564E0B4F" w14:textId="77777777" w:rsidR="002A328E" w:rsidRPr="002A328E" w:rsidRDefault="002A328E" w:rsidP="00561E06">
      <w:pPr>
        <w:pStyle w:val="EndNoteBibliography"/>
        <w:spacing w:after="0"/>
        <w:ind w:left="-426"/>
        <w:rPr>
          <w:szCs w:val="24"/>
        </w:rPr>
      </w:pPr>
    </w:p>
    <w:p w14:paraId="0B14C07A" w14:textId="08D912C8" w:rsidR="002A328E" w:rsidRPr="002A328E" w:rsidRDefault="002A328E" w:rsidP="00561E06">
      <w:pPr>
        <w:pStyle w:val="EndNoteBibliography"/>
        <w:ind w:left="-426"/>
        <w:rPr>
          <w:szCs w:val="24"/>
        </w:rPr>
      </w:pPr>
      <w:r w:rsidRPr="002A328E">
        <w:rPr>
          <w:szCs w:val="24"/>
        </w:rPr>
        <w:t xml:space="preserve">140. NHS England. National schedule of NHS costs 2020. Available from: </w:t>
      </w:r>
      <w:r w:rsidRPr="00E038D5">
        <w:rPr>
          <w:szCs w:val="24"/>
        </w:rPr>
        <w:t>https://www.england.nhs.uk/wp-content/uploads/2021/06/National_Schedule_of_NHS_Costs_FY1920.xlsx</w:t>
      </w:r>
      <w:r w:rsidRPr="002A328E">
        <w:rPr>
          <w:szCs w:val="24"/>
        </w:rPr>
        <w:t xml:space="preserve"> (Accessed August 2021).</w:t>
      </w:r>
    </w:p>
    <w:p w14:paraId="3628B594" w14:textId="77777777" w:rsidR="002A328E" w:rsidRPr="002A328E" w:rsidRDefault="002A328E" w:rsidP="00561E06">
      <w:pPr>
        <w:pStyle w:val="EndNoteBibliography"/>
        <w:spacing w:after="0"/>
        <w:ind w:left="-426"/>
        <w:rPr>
          <w:szCs w:val="24"/>
        </w:rPr>
      </w:pPr>
    </w:p>
    <w:p w14:paraId="52CABD84" w14:textId="5418A3EF" w:rsidR="002A328E" w:rsidRPr="002A328E" w:rsidRDefault="002A328E" w:rsidP="00561E06">
      <w:pPr>
        <w:pStyle w:val="EndNoteBibliography"/>
        <w:ind w:left="-426"/>
        <w:rPr>
          <w:szCs w:val="24"/>
        </w:rPr>
      </w:pPr>
      <w:r w:rsidRPr="002A328E">
        <w:rPr>
          <w:szCs w:val="24"/>
        </w:rPr>
        <w:t xml:space="preserve">141. Curtis L, Burns A. Unit costs of health and social care 2020 2020. Available from: </w:t>
      </w:r>
      <w:r w:rsidRPr="00E038D5">
        <w:rPr>
          <w:szCs w:val="24"/>
        </w:rPr>
        <w:t>https://www.pssru.ac.uk/project-pages/unit-costs/unit-costs-2020/</w:t>
      </w:r>
      <w:r w:rsidRPr="002A328E">
        <w:rPr>
          <w:szCs w:val="24"/>
        </w:rPr>
        <w:t xml:space="preserve"> (Accessed July 2021).</w:t>
      </w:r>
    </w:p>
    <w:p w14:paraId="46D5471F" w14:textId="77777777" w:rsidR="002A328E" w:rsidRPr="002A328E" w:rsidRDefault="002A328E" w:rsidP="00561E06">
      <w:pPr>
        <w:pStyle w:val="EndNoteBibliography"/>
        <w:spacing w:after="0"/>
        <w:ind w:left="-426"/>
        <w:rPr>
          <w:szCs w:val="24"/>
        </w:rPr>
      </w:pPr>
    </w:p>
    <w:p w14:paraId="7F1645C0" w14:textId="19212BBB" w:rsidR="002A328E" w:rsidRPr="002A328E" w:rsidRDefault="002A328E" w:rsidP="00561E06">
      <w:pPr>
        <w:pStyle w:val="EndNoteBibliography"/>
        <w:ind w:left="-426"/>
        <w:rPr>
          <w:szCs w:val="24"/>
        </w:rPr>
      </w:pPr>
      <w:r w:rsidRPr="002A328E">
        <w:rPr>
          <w:szCs w:val="24"/>
        </w:rPr>
        <w:t xml:space="preserve">142. NHS England. Arrhythmia 2018. Available from: </w:t>
      </w:r>
      <w:r w:rsidRPr="00E038D5">
        <w:rPr>
          <w:szCs w:val="24"/>
        </w:rPr>
        <w:t>https://www.nhs.uk/conditions/arrhythmia/</w:t>
      </w:r>
      <w:r w:rsidRPr="002A328E">
        <w:rPr>
          <w:szCs w:val="24"/>
        </w:rPr>
        <w:t xml:space="preserve"> (Accessed August 2021).</w:t>
      </w:r>
    </w:p>
    <w:p w14:paraId="147EE09F" w14:textId="77777777" w:rsidR="002A328E" w:rsidRPr="002A328E" w:rsidRDefault="002A328E" w:rsidP="00561E06">
      <w:pPr>
        <w:pStyle w:val="EndNoteBibliography"/>
        <w:spacing w:after="0"/>
        <w:ind w:left="-426"/>
        <w:rPr>
          <w:szCs w:val="24"/>
        </w:rPr>
      </w:pPr>
    </w:p>
    <w:p w14:paraId="627BEFA1" w14:textId="43F57AA2" w:rsidR="002A328E" w:rsidRPr="002A328E" w:rsidRDefault="002A328E" w:rsidP="00561E06">
      <w:pPr>
        <w:pStyle w:val="EndNoteBibliography"/>
        <w:ind w:left="-426"/>
        <w:rPr>
          <w:szCs w:val="24"/>
        </w:rPr>
      </w:pPr>
      <w:r w:rsidRPr="002A328E">
        <w:rPr>
          <w:szCs w:val="24"/>
        </w:rPr>
        <w:t>143. Burdett P, Lip GYH. Atrial fibrillation in the United Kingdom: predicting costs of an emerging epidemic recognising and forecasting the cost drivers of atrial fibrillation-related costs. Eur Heart J Qual Care Clin Outcomes. 2020:</w:t>
      </w:r>
      <w:r w:rsidRPr="00E038D5">
        <w:rPr>
          <w:szCs w:val="24"/>
        </w:rPr>
        <w:t>https://doi.org/10.1093/ehjqcco/qcaa093</w:t>
      </w:r>
      <w:r w:rsidRPr="002A328E">
        <w:rPr>
          <w:szCs w:val="24"/>
        </w:rPr>
        <w:t>.</w:t>
      </w:r>
    </w:p>
    <w:p w14:paraId="47A4D259" w14:textId="77777777" w:rsidR="002A328E" w:rsidRPr="002A328E" w:rsidRDefault="002A328E" w:rsidP="00561E06">
      <w:pPr>
        <w:pStyle w:val="EndNoteBibliography"/>
        <w:spacing w:after="0"/>
        <w:ind w:left="-426"/>
        <w:rPr>
          <w:szCs w:val="24"/>
        </w:rPr>
      </w:pPr>
    </w:p>
    <w:p w14:paraId="19267886" w14:textId="77777777" w:rsidR="002A328E" w:rsidRPr="002A328E" w:rsidRDefault="002A328E" w:rsidP="00561E06">
      <w:pPr>
        <w:pStyle w:val="EndNoteBibliography"/>
        <w:ind w:left="-426"/>
        <w:rPr>
          <w:szCs w:val="24"/>
        </w:rPr>
      </w:pPr>
      <w:r w:rsidRPr="002A328E">
        <w:rPr>
          <w:szCs w:val="24"/>
        </w:rPr>
        <w:t>144. Walker S, Asaria M, Manca A, Palmer S, Gale CP, Shah AD, et al. Long-term healthcare use and costs in patients with stable coronary artery disease: a population-based cohort using linked health records (CALIBER). Eur Heart J Qual Care Clin Outcomes. 2016;2(2):125-40.</w:t>
      </w:r>
    </w:p>
    <w:p w14:paraId="73EA7E80" w14:textId="77777777" w:rsidR="002A328E" w:rsidRPr="002A328E" w:rsidRDefault="002A328E" w:rsidP="00561E06">
      <w:pPr>
        <w:pStyle w:val="EndNoteBibliography"/>
        <w:spacing w:after="0"/>
        <w:ind w:left="-426"/>
        <w:rPr>
          <w:szCs w:val="24"/>
        </w:rPr>
      </w:pPr>
    </w:p>
    <w:p w14:paraId="0603DBD4" w14:textId="77777777" w:rsidR="002A328E" w:rsidRPr="002A328E" w:rsidRDefault="002A328E" w:rsidP="00561E06">
      <w:pPr>
        <w:pStyle w:val="EndNoteBibliography"/>
        <w:ind w:left="-426"/>
        <w:rPr>
          <w:szCs w:val="24"/>
        </w:rPr>
      </w:pPr>
      <w:r w:rsidRPr="002A328E">
        <w:rPr>
          <w:szCs w:val="24"/>
        </w:rPr>
        <w:t>145. Danese MD, Gleeson M, Kutikova L, Griffiths RI, Azough A, Khunti K, et al. Estimating the economic burden of cardiovascular events in patients receiving lipid-modifying therapy in the UK. BMJ Open. 2016;6(8):e011805.</w:t>
      </w:r>
    </w:p>
    <w:p w14:paraId="5D151A12" w14:textId="77777777" w:rsidR="002A328E" w:rsidRPr="002A328E" w:rsidRDefault="002A328E" w:rsidP="00561E06">
      <w:pPr>
        <w:pStyle w:val="EndNoteBibliography"/>
        <w:spacing w:after="0"/>
        <w:ind w:left="-426"/>
        <w:rPr>
          <w:szCs w:val="24"/>
        </w:rPr>
      </w:pPr>
    </w:p>
    <w:p w14:paraId="0D961E60" w14:textId="52D5CFCC" w:rsidR="002A328E" w:rsidRPr="002A328E" w:rsidRDefault="002A328E" w:rsidP="00561E06">
      <w:pPr>
        <w:pStyle w:val="EndNoteBibliography"/>
        <w:ind w:left="-426"/>
        <w:rPr>
          <w:szCs w:val="24"/>
        </w:rPr>
      </w:pPr>
      <w:r w:rsidRPr="002A328E">
        <w:rPr>
          <w:szCs w:val="24"/>
        </w:rPr>
        <w:t xml:space="preserve">146. NHS England. Why it's done - Aortic valve replacement 2018. Available from: </w:t>
      </w:r>
      <w:r w:rsidRPr="00E038D5">
        <w:rPr>
          <w:szCs w:val="24"/>
        </w:rPr>
        <w:t>https://www.nhs.uk/conditions/aortic-valve-replacement/whyitsdone/</w:t>
      </w:r>
      <w:r w:rsidRPr="002A328E">
        <w:rPr>
          <w:szCs w:val="24"/>
        </w:rPr>
        <w:t xml:space="preserve"> (Accessed August 2021).</w:t>
      </w:r>
    </w:p>
    <w:p w14:paraId="531809B0" w14:textId="77777777" w:rsidR="002A328E" w:rsidRPr="002A328E" w:rsidRDefault="002A328E" w:rsidP="00561E06">
      <w:pPr>
        <w:pStyle w:val="EndNoteBibliography"/>
        <w:spacing w:after="0"/>
        <w:ind w:left="-426"/>
        <w:rPr>
          <w:szCs w:val="24"/>
        </w:rPr>
      </w:pPr>
    </w:p>
    <w:p w14:paraId="5C388359" w14:textId="08F9B99F" w:rsidR="002A328E" w:rsidRPr="002A328E" w:rsidRDefault="002A328E" w:rsidP="00561E06">
      <w:pPr>
        <w:pStyle w:val="EndNoteBibliography"/>
        <w:ind w:left="-426"/>
        <w:rPr>
          <w:szCs w:val="24"/>
        </w:rPr>
      </w:pPr>
      <w:r w:rsidRPr="002A328E">
        <w:rPr>
          <w:szCs w:val="24"/>
        </w:rPr>
        <w:t xml:space="preserve">147. National Institute for Health and Care Excellence. Acute heart failure: diagnosis and management [CG187] 2014. Available from: </w:t>
      </w:r>
      <w:r w:rsidRPr="00E038D5">
        <w:rPr>
          <w:szCs w:val="24"/>
        </w:rPr>
        <w:t>https://www.nice.org.uk/guidance/cg187</w:t>
      </w:r>
      <w:r w:rsidRPr="002A328E">
        <w:rPr>
          <w:szCs w:val="24"/>
        </w:rPr>
        <w:t xml:space="preserve"> (Accessed August 2021).</w:t>
      </w:r>
    </w:p>
    <w:p w14:paraId="7F13C213" w14:textId="77777777" w:rsidR="002A328E" w:rsidRPr="002A328E" w:rsidRDefault="002A328E" w:rsidP="00561E06">
      <w:pPr>
        <w:pStyle w:val="EndNoteBibliography"/>
        <w:spacing w:after="0"/>
        <w:ind w:left="-426"/>
        <w:rPr>
          <w:szCs w:val="24"/>
        </w:rPr>
      </w:pPr>
    </w:p>
    <w:p w14:paraId="34093D74" w14:textId="29644683" w:rsidR="002A328E" w:rsidRPr="002A328E" w:rsidRDefault="002A328E" w:rsidP="00561E06">
      <w:pPr>
        <w:pStyle w:val="EndNoteBibliography"/>
        <w:ind w:left="-426"/>
        <w:rPr>
          <w:szCs w:val="24"/>
        </w:rPr>
      </w:pPr>
      <w:r w:rsidRPr="002A328E">
        <w:rPr>
          <w:szCs w:val="24"/>
        </w:rPr>
        <w:t xml:space="preserve">148. NHS England. 2019/20 National Cost Collection data 2020. Available from: </w:t>
      </w:r>
      <w:r w:rsidRPr="00E038D5">
        <w:rPr>
          <w:szCs w:val="24"/>
        </w:rPr>
        <w:t>https://www.england.nhs.uk/national-cost-collection/#ncc1819</w:t>
      </w:r>
      <w:r w:rsidRPr="002A328E">
        <w:rPr>
          <w:szCs w:val="24"/>
        </w:rPr>
        <w:t xml:space="preserve"> (Accessed 26 Nov 2020).</w:t>
      </w:r>
    </w:p>
    <w:p w14:paraId="61874A01" w14:textId="77777777" w:rsidR="002A328E" w:rsidRPr="002A328E" w:rsidRDefault="002A328E" w:rsidP="00561E06">
      <w:pPr>
        <w:pStyle w:val="EndNoteBibliography"/>
        <w:spacing w:after="0"/>
        <w:ind w:left="-426"/>
        <w:rPr>
          <w:szCs w:val="24"/>
        </w:rPr>
      </w:pPr>
    </w:p>
    <w:p w14:paraId="1E2EF16A" w14:textId="2CE5D1B1" w:rsidR="002A328E" w:rsidRPr="002A328E" w:rsidRDefault="002A328E" w:rsidP="00561E06">
      <w:pPr>
        <w:pStyle w:val="EndNoteBibliography"/>
        <w:ind w:left="-426"/>
        <w:rPr>
          <w:szCs w:val="24"/>
        </w:rPr>
      </w:pPr>
      <w:r w:rsidRPr="002A328E">
        <w:rPr>
          <w:szCs w:val="24"/>
        </w:rPr>
        <w:t xml:space="preserve">149. National Institute for Health and Care Excellence. Appendix K: Cost-effectiveness analysis: Supervised exercise compared to unsupervised exercise for the treatment of people with intermittent claudication [NG147]. London/Manchester: National Institute for Health and Care Excellence; 2012. Available from: </w:t>
      </w:r>
      <w:r w:rsidRPr="00E038D5">
        <w:rPr>
          <w:szCs w:val="24"/>
        </w:rPr>
        <w:t>https://www.nice.org.uk/guidance/cg147/evidence/appendices-an-pdf-186865022</w:t>
      </w:r>
      <w:r w:rsidRPr="002A328E">
        <w:rPr>
          <w:szCs w:val="24"/>
        </w:rPr>
        <w:t>.</w:t>
      </w:r>
      <w:r w:rsidR="00D73245">
        <w:rPr>
          <w:szCs w:val="24"/>
        </w:rPr>
        <w:t xml:space="preserve"> (Accessed 25 August 2021)</w:t>
      </w:r>
    </w:p>
    <w:p w14:paraId="09F03C50" w14:textId="77777777" w:rsidR="002A328E" w:rsidRPr="002A328E" w:rsidRDefault="002A328E" w:rsidP="00561E06">
      <w:pPr>
        <w:pStyle w:val="EndNoteBibliography"/>
        <w:spacing w:after="0"/>
        <w:ind w:left="-426"/>
        <w:rPr>
          <w:szCs w:val="24"/>
        </w:rPr>
      </w:pPr>
    </w:p>
    <w:p w14:paraId="60468381" w14:textId="77777777" w:rsidR="002A328E" w:rsidRPr="002A328E" w:rsidRDefault="002A328E" w:rsidP="00561E06">
      <w:pPr>
        <w:pStyle w:val="EndNoteBibliography"/>
        <w:ind w:left="-426"/>
        <w:rPr>
          <w:szCs w:val="24"/>
        </w:rPr>
      </w:pPr>
      <w:r w:rsidRPr="002A328E">
        <w:rPr>
          <w:szCs w:val="24"/>
        </w:rPr>
        <w:t>150. Tappenden P, Chilcott JB. Avoiding and identifying errors and other threats to the credibility of health economic models. Pharmacoeconomics. 2014;32(10):967-79.</w:t>
      </w:r>
    </w:p>
    <w:p w14:paraId="0C2FDFC8" w14:textId="77777777" w:rsidR="002A328E" w:rsidRPr="002A328E" w:rsidRDefault="002A328E" w:rsidP="00561E06">
      <w:pPr>
        <w:pStyle w:val="EndNoteBibliography"/>
        <w:spacing w:after="0"/>
        <w:ind w:left="-426"/>
        <w:rPr>
          <w:szCs w:val="24"/>
        </w:rPr>
      </w:pPr>
    </w:p>
    <w:p w14:paraId="23A8AF0F" w14:textId="326F24ED" w:rsidR="002A328E" w:rsidRPr="002A328E" w:rsidRDefault="002A328E" w:rsidP="00561E06">
      <w:pPr>
        <w:pStyle w:val="EndNoteBibliography"/>
        <w:ind w:left="-426"/>
        <w:rPr>
          <w:szCs w:val="24"/>
        </w:rPr>
      </w:pPr>
      <w:r w:rsidRPr="002A328E">
        <w:rPr>
          <w:szCs w:val="24"/>
        </w:rPr>
        <w:t xml:space="preserve">151. ClinRisk Ltd. QRISK®3-2018 risk calculator 2018. Available from: </w:t>
      </w:r>
      <w:r w:rsidRPr="00E038D5">
        <w:rPr>
          <w:szCs w:val="24"/>
        </w:rPr>
        <w:t>https://qrisk.org/three/index.php</w:t>
      </w:r>
      <w:r w:rsidRPr="002A328E">
        <w:rPr>
          <w:szCs w:val="24"/>
        </w:rPr>
        <w:t xml:space="preserve"> (Accessed August 2021).</w:t>
      </w:r>
    </w:p>
    <w:p w14:paraId="19509D28" w14:textId="77777777" w:rsidR="002A328E" w:rsidRPr="002A328E" w:rsidRDefault="002A328E" w:rsidP="00561E06">
      <w:pPr>
        <w:pStyle w:val="EndNoteBibliography"/>
        <w:spacing w:after="0"/>
        <w:ind w:left="-426"/>
        <w:rPr>
          <w:szCs w:val="24"/>
        </w:rPr>
      </w:pPr>
    </w:p>
    <w:p w14:paraId="44A9BEAE" w14:textId="77777777" w:rsidR="002A328E" w:rsidRPr="002A328E" w:rsidRDefault="002A328E" w:rsidP="00561E06">
      <w:pPr>
        <w:pStyle w:val="EndNoteBibliography"/>
        <w:ind w:left="-426"/>
        <w:rPr>
          <w:szCs w:val="24"/>
        </w:rPr>
      </w:pPr>
      <w:r w:rsidRPr="002A328E">
        <w:rPr>
          <w:szCs w:val="24"/>
        </w:rPr>
        <w:t>152. Briggs A, Claxton M, Sculpher M. Decision modelling for health economic evaluation. Oxford: Oxford University Press; 2006.</w:t>
      </w:r>
    </w:p>
    <w:p w14:paraId="3F04E710" w14:textId="77777777" w:rsidR="002A328E" w:rsidRPr="002A328E" w:rsidRDefault="002A328E" w:rsidP="00561E06">
      <w:pPr>
        <w:pStyle w:val="EndNoteBibliography"/>
        <w:spacing w:after="0"/>
        <w:ind w:left="-426"/>
        <w:rPr>
          <w:szCs w:val="24"/>
        </w:rPr>
      </w:pPr>
    </w:p>
    <w:p w14:paraId="3A212016" w14:textId="0048B862" w:rsidR="002A328E" w:rsidRPr="002A328E" w:rsidRDefault="002A328E" w:rsidP="00561E06">
      <w:pPr>
        <w:pStyle w:val="EndNoteBibliography"/>
        <w:ind w:left="-426"/>
        <w:rPr>
          <w:szCs w:val="24"/>
        </w:rPr>
      </w:pPr>
      <w:r w:rsidRPr="002A328E">
        <w:rPr>
          <w:szCs w:val="24"/>
        </w:rPr>
        <w:t xml:space="preserve">153. Longworth L, Rowen D. NICE DSU Technical Support Document 10: The use of mapping methods to estimate health state utility values. Sheffield:  NICE Decision Support Unit, University of Sheffield; 2011. Available from: </w:t>
      </w:r>
      <w:r w:rsidRPr="00E038D5">
        <w:rPr>
          <w:szCs w:val="24"/>
        </w:rPr>
        <w:t>http://nicedsu.org.uk/wp-content/uploads/2016/03/TSD-10-mapping-FINAL.pdf</w:t>
      </w:r>
      <w:r w:rsidRPr="002A328E">
        <w:rPr>
          <w:szCs w:val="24"/>
        </w:rPr>
        <w:t>.</w:t>
      </w:r>
      <w:r w:rsidR="00D73245">
        <w:rPr>
          <w:szCs w:val="24"/>
        </w:rPr>
        <w:t xml:space="preserve"> (Accessed 24 March 2020)</w:t>
      </w:r>
    </w:p>
    <w:p w14:paraId="23D8CC94" w14:textId="77777777" w:rsidR="002A328E" w:rsidRPr="002A328E" w:rsidRDefault="002A328E" w:rsidP="00561E06">
      <w:pPr>
        <w:pStyle w:val="EndNoteBibliography"/>
        <w:spacing w:after="0"/>
        <w:ind w:left="-426"/>
        <w:rPr>
          <w:szCs w:val="24"/>
        </w:rPr>
      </w:pPr>
    </w:p>
    <w:p w14:paraId="4F2D0269" w14:textId="77777777" w:rsidR="002A328E" w:rsidRPr="002A328E" w:rsidRDefault="002A328E" w:rsidP="00561E06">
      <w:pPr>
        <w:pStyle w:val="EndNoteBibliography"/>
        <w:ind w:left="-426"/>
        <w:rPr>
          <w:szCs w:val="24"/>
        </w:rPr>
      </w:pPr>
      <w:r w:rsidRPr="002A328E">
        <w:rPr>
          <w:szCs w:val="24"/>
        </w:rPr>
        <w:t>154. Park H, Park J, Kim K, Kang B, Baek S, Park N. Discontinuation of testosterone replacement therapy in patients with late-onset hypogonadism: A 10-year observational study. Eur Urol Open Sci. 2020;19:e131.</w:t>
      </w:r>
    </w:p>
    <w:p w14:paraId="0CC25C46" w14:textId="77777777" w:rsidR="002A328E" w:rsidRPr="002A328E" w:rsidRDefault="002A328E" w:rsidP="00561E06">
      <w:pPr>
        <w:pStyle w:val="EndNoteBibliography"/>
        <w:spacing w:after="0"/>
        <w:ind w:left="-426"/>
        <w:rPr>
          <w:szCs w:val="24"/>
        </w:rPr>
      </w:pPr>
    </w:p>
    <w:p w14:paraId="175AB303" w14:textId="77777777" w:rsidR="002A328E" w:rsidRPr="002A328E" w:rsidRDefault="002A328E" w:rsidP="00561E06">
      <w:pPr>
        <w:pStyle w:val="EndNoteBibliography"/>
        <w:ind w:left="-426"/>
        <w:rPr>
          <w:szCs w:val="24"/>
        </w:rPr>
      </w:pPr>
      <w:r w:rsidRPr="002A328E">
        <w:rPr>
          <w:szCs w:val="24"/>
        </w:rPr>
        <w:t>155. Budoff MJ, Ellenberg SS, Lewis CE, Mohler ER, 3rd, Wenger NK, Bhasin S, et al. Testosterone treatment and coronary artery plaque volume in older men with low testosterone. JAMA. 2017;317(7):708-16.</w:t>
      </w:r>
    </w:p>
    <w:p w14:paraId="0D923BCE" w14:textId="77777777" w:rsidR="002A328E" w:rsidRPr="002A328E" w:rsidRDefault="002A328E" w:rsidP="00561E06">
      <w:pPr>
        <w:pStyle w:val="EndNoteBibliography"/>
        <w:spacing w:after="0"/>
        <w:ind w:left="-426"/>
        <w:rPr>
          <w:szCs w:val="24"/>
        </w:rPr>
      </w:pPr>
    </w:p>
    <w:p w14:paraId="3E0D0CC7" w14:textId="77777777" w:rsidR="002A328E" w:rsidRPr="002A328E" w:rsidRDefault="002A328E" w:rsidP="00561E06">
      <w:pPr>
        <w:pStyle w:val="EndNoteBibliography"/>
        <w:ind w:left="-426"/>
        <w:rPr>
          <w:szCs w:val="24"/>
        </w:rPr>
      </w:pPr>
      <w:r w:rsidRPr="002A328E">
        <w:rPr>
          <w:szCs w:val="24"/>
        </w:rPr>
        <w:t>156. Yeap BB, Grossmann M, McLachlan RI, Handelsman DJ, Wittert GA, Conway AJ, et al. Endocrine Society of Australia position statement on male hypogonadism (part 2): treatment and therapeutic considerations. Med J Aust. 2016;205(5):228-31.</w:t>
      </w:r>
    </w:p>
    <w:p w14:paraId="15AFF7F3" w14:textId="77777777" w:rsidR="002A328E" w:rsidRPr="002A328E" w:rsidRDefault="002A328E" w:rsidP="00561E06">
      <w:pPr>
        <w:pStyle w:val="EndNoteBibliography"/>
        <w:spacing w:after="0"/>
        <w:ind w:left="-426"/>
        <w:rPr>
          <w:szCs w:val="24"/>
        </w:rPr>
      </w:pPr>
    </w:p>
    <w:p w14:paraId="7FD3B539" w14:textId="17D7C807" w:rsidR="0033740A" w:rsidRPr="00C2763C" w:rsidRDefault="002A328E" w:rsidP="00C2763C">
      <w:pPr>
        <w:pStyle w:val="EndNoteBibliography"/>
        <w:ind w:left="-426"/>
        <w:rPr>
          <w:szCs w:val="24"/>
        </w:rPr>
      </w:pPr>
      <w:r w:rsidRPr="002A328E">
        <w:rPr>
          <w:szCs w:val="24"/>
        </w:rPr>
        <w:t>157. Wittert G, Bracken K, Robledo KP, Grossmann M, Yeap BB, Handelsman DJ, et al. Testosterone treatment to prevent or revert type 2 diabetes in men enrolled in a lifestyle programme (T4DM): a randomised, double-blind, placebo-controlled, 2-year, phase 3b trial. Lancet Diabetes Endocrinol. 2021;9(1):32-45.</w:t>
      </w:r>
      <w:bookmarkEnd w:id="1"/>
    </w:p>
    <w:sectPr w:rsidR="0033740A" w:rsidRPr="00C2763C" w:rsidSect="00030F6A">
      <w:footerReference w:type="default" r:id="rId8"/>
      <w:footerReference w:type="first" r:id="rId9"/>
      <w:pgSz w:w="11906" w:h="16838"/>
      <w:pgMar w:top="1440" w:right="1797" w:bottom="1440" w:left="179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BB75A" w14:textId="77777777" w:rsidR="004F0D84" w:rsidRDefault="004F0D84" w:rsidP="00A62897">
      <w:pPr>
        <w:spacing w:line="240" w:lineRule="auto"/>
      </w:pPr>
      <w:r>
        <w:separator/>
      </w:r>
    </w:p>
  </w:endnote>
  <w:endnote w:type="continuationSeparator" w:id="0">
    <w:p w14:paraId="4D7B19E5" w14:textId="77777777" w:rsidR="004F0D84" w:rsidRDefault="004F0D84" w:rsidP="00A628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w:panose1 w:val="020B0503020202020204"/>
    <w:charset w:val="00"/>
    <w:family w:val="swiss"/>
    <w:pitch w:val="variable"/>
    <w:sig w:usb0="80000287" w:usb1="00000000" w:usb2="00000000" w:usb3="00000000" w:csb0="0000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A499" w14:textId="77777777" w:rsidR="008445E5" w:rsidRDefault="008445E5">
    <w:pPr>
      <w:pStyle w:val="Footer"/>
      <w:jc w:val="center"/>
    </w:pPr>
  </w:p>
  <w:p w14:paraId="17D76670" w14:textId="77777777" w:rsidR="008445E5" w:rsidRDefault="008445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29E57" w14:textId="77777777" w:rsidR="008445E5" w:rsidRDefault="008445E5">
    <w:pPr>
      <w:pStyle w:val="Footer"/>
      <w:jc w:val="center"/>
    </w:pPr>
  </w:p>
  <w:p w14:paraId="3831464C" w14:textId="77777777" w:rsidR="008445E5" w:rsidRDefault="00844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BB2AF" w14:textId="77777777" w:rsidR="004F0D84" w:rsidRDefault="004F0D84" w:rsidP="00A62897">
      <w:pPr>
        <w:spacing w:line="240" w:lineRule="auto"/>
      </w:pPr>
      <w:r>
        <w:separator/>
      </w:r>
    </w:p>
  </w:footnote>
  <w:footnote w:type="continuationSeparator" w:id="0">
    <w:p w14:paraId="3D3ECC0D" w14:textId="77777777" w:rsidR="004F0D84" w:rsidRDefault="004F0D84" w:rsidP="00A6289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1AA2"/>
    <w:multiLevelType w:val="hybridMultilevel"/>
    <w:tmpl w:val="FC70F2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E02179"/>
    <w:multiLevelType w:val="hybridMultilevel"/>
    <w:tmpl w:val="C27EE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CC3A5E"/>
    <w:multiLevelType w:val="hybridMultilevel"/>
    <w:tmpl w:val="BA64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F020B"/>
    <w:multiLevelType w:val="hybridMultilevel"/>
    <w:tmpl w:val="31AE2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C143E"/>
    <w:multiLevelType w:val="hybridMultilevel"/>
    <w:tmpl w:val="DE4E0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FA07C5"/>
    <w:multiLevelType w:val="hybridMultilevel"/>
    <w:tmpl w:val="9E883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6F4D47"/>
    <w:multiLevelType w:val="hybridMultilevel"/>
    <w:tmpl w:val="424EFABC"/>
    <w:lvl w:ilvl="0" w:tplc="30D2762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A263F5"/>
    <w:multiLevelType w:val="hybridMultilevel"/>
    <w:tmpl w:val="00B2E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E1524"/>
    <w:multiLevelType w:val="multilevel"/>
    <w:tmpl w:val="5E6CC9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7D31D56"/>
    <w:multiLevelType w:val="hybridMultilevel"/>
    <w:tmpl w:val="4E50A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A51000"/>
    <w:multiLevelType w:val="hybridMultilevel"/>
    <w:tmpl w:val="015686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9B6049C"/>
    <w:multiLevelType w:val="hybridMultilevel"/>
    <w:tmpl w:val="CCA22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967163"/>
    <w:multiLevelType w:val="hybridMultilevel"/>
    <w:tmpl w:val="6666B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4F6F43"/>
    <w:multiLevelType w:val="hybridMultilevel"/>
    <w:tmpl w:val="36663C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0DD74AB"/>
    <w:multiLevelType w:val="hybridMultilevel"/>
    <w:tmpl w:val="167CE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766757"/>
    <w:multiLevelType w:val="hybridMultilevel"/>
    <w:tmpl w:val="77B26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0346EE"/>
    <w:multiLevelType w:val="hybridMultilevel"/>
    <w:tmpl w:val="BB5AEA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257C74"/>
    <w:multiLevelType w:val="hybridMultilevel"/>
    <w:tmpl w:val="926804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98F7E69"/>
    <w:multiLevelType w:val="hybridMultilevel"/>
    <w:tmpl w:val="AD38C00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7F7ED0"/>
    <w:multiLevelType w:val="hybridMultilevel"/>
    <w:tmpl w:val="2FC4D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F12623"/>
    <w:multiLevelType w:val="hybridMultilevel"/>
    <w:tmpl w:val="6C0A3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50170A"/>
    <w:multiLevelType w:val="hybridMultilevel"/>
    <w:tmpl w:val="C8260712"/>
    <w:lvl w:ilvl="0" w:tplc="08090001">
      <w:start w:val="1"/>
      <w:numFmt w:val="bullet"/>
      <w:lvlText w:val=""/>
      <w:lvlJc w:val="left"/>
      <w:pPr>
        <w:ind w:left="360" w:hanging="360"/>
      </w:pPr>
      <w:rPr>
        <w:rFonts w:ascii="Symbol" w:hAnsi="Symbol" w:hint="default"/>
      </w:rPr>
    </w:lvl>
    <w:lvl w:ilvl="1" w:tplc="AAE46714">
      <w:numFmt w:val="bullet"/>
      <w:lvlText w:val="-"/>
      <w:lvlJc w:val="left"/>
      <w:pPr>
        <w:ind w:left="1080" w:hanging="360"/>
      </w:pPr>
      <w:rPr>
        <w:rFonts w:ascii="Times New Roman" w:eastAsiaTheme="minorHAnsi"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8CF2066"/>
    <w:multiLevelType w:val="hybridMultilevel"/>
    <w:tmpl w:val="4C92F0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EF62222"/>
    <w:multiLevelType w:val="multilevel"/>
    <w:tmpl w:val="61BCC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AC7C43"/>
    <w:multiLevelType w:val="hybridMultilevel"/>
    <w:tmpl w:val="C7628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1F318E"/>
    <w:multiLevelType w:val="multilevel"/>
    <w:tmpl w:val="88D24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77677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CFB0E8D"/>
    <w:multiLevelType w:val="hybridMultilevel"/>
    <w:tmpl w:val="C526C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D940AF"/>
    <w:multiLevelType w:val="hybridMultilevel"/>
    <w:tmpl w:val="7CC07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BD75F5"/>
    <w:multiLevelType w:val="hybridMultilevel"/>
    <w:tmpl w:val="F21263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52001BF"/>
    <w:multiLevelType w:val="hybridMultilevel"/>
    <w:tmpl w:val="48F67E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A523C96"/>
    <w:multiLevelType w:val="hybridMultilevel"/>
    <w:tmpl w:val="560C6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F02299B"/>
    <w:multiLevelType w:val="hybridMultilevel"/>
    <w:tmpl w:val="02585CD4"/>
    <w:lvl w:ilvl="0" w:tplc="08090001">
      <w:start w:val="1"/>
      <w:numFmt w:val="bullet"/>
      <w:lvlText w:val=""/>
      <w:lvlJc w:val="left"/>
      <w:pPr>
        <w:ind w:left="720" w:hanging="360"/>
      </w:pPr>
      <w:rPr>
        <w:rFonts w:ascii="Symbol" w:hAnsi="Symbol" w:hint="default"/>
      </w:rPr>
    </w:lvl>
    <w:lvl w:ilvl="1" w:tplc="8446E734">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001CE0"/>
    <w:multiLevelType w:val="hybridMultilevel"/>
    <w:tmpl w:val="186EA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404CAC"/>
    <w:multiLevelType w:val="hybridMultilevel"/>
    <w:tmpl w:val="43520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AB0E5A"/>
    <w:multiLevelType w:val="hybridMultilevel"/>
    <w:tmpl w:val="ACE8B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89685D"/>
    <w:multiLevelType w:val="hybridMultilevel"/>
    <w:tmpl w:val="1A406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8F73F8"/>
    <w:multiLevelType w:val="hybridMultilevel"/>
    <w:tmpl w:val="7A1C1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E7D7B"/>
    <w:multiLevelType w:val="hybridMultilevel"/>
    <w:tmpl w:val="427871A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A894F82"/>
    <w:multiLevelType w:val="multilevel"/>
    <w:tmpl w:val="CE261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104A00"/>
    <w:multiLevelType w:val="hybridMultilevel"/>
    <w:tmpl w:val="55B22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D76E9A"/>
    <w:multiLevelType w:val="hybridMultilevel"/>
    <w:tmpl w:val="C97AE0A4"/>
    <w:lvl w:ilvl="0" w:tplc="3E36243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4498920">
    <w:abstractNumId w:val="26"/>
  </w:num>
  <w:num w:numId="2" w16cid:durableId="1411150595">
    <w:abstractNumId w:val="21"/>
  </w:num>
  <w:num w:numId="3" w16cid:durableId="1877082728">
    <w:abstractNumId w:val="38"/>
  </w:num>
  <w:num w:numId="4" w16cid:durableId="1495561329">
    <w:abstractNumId w:val="14"/>
  </w:num>
  <w:num w:numId="5" w16cid:durableId="220409468">
    <w:abstractNumId w:val="20"/>
  </w:num>
  <w:num w:numId="6" w16cid:durableId="137916991">
    <w:abstractNumId w:val="10"/>
  </w:num>
  <w:num w:numId="7" w16cid:durableId="1450930132">
    <w:abstractNumId w:val="22"/>
  </w:num>
  <w:num w:numId="8" w16cid:durableId="2037920962">
    <w:abstractNumId w:val="34"/>
  </w:num>
  <w:num w:numId="9" w16cid:durableId="1068961301">
    <w:abstractNumId w:val="6"/>
  </w:num>
  <w:num w:numId="10" w16cid:durableId="1728146663">
    <w:abstractNumId w:val="41"/>
  </w:num>
  <w:num w:numId="11" w16cid:durableId="655039664">
    <w:abstractNumId w:val="12"/>
  </w:num>
  <w:num w:numId="12" w16cid:durableId="1813059311">
    <w:abstractNumId w:val="25"/>
  </w:num>
  <w:num w:numId="13" w16cid:durableId="339703806">
    <w:abstractNumId w:val="39"/>
  </w:num>
  <w:num w:numId="14" w16cid:durableId="2146118214">
    <w:abstractNumId w:val="36"/>
  </w:num>
  <w:num w:numId="15" w16cid:durableId="230895218">
    <w:abstractNumId w:val="40"/>
  </w:num>
  <w:num w:numId="16" w16cid:durableId="629476284">
    <w:abstractNumId w:val="8"/>
  </w:num>
  <w:num w:numId="17" w16cid:durableId="2074424844">
    <w:abstractNumId w:val="13"/>
  </w:num>
  <w:num w:numId="18" w16cid:durableId="789008460">
    <w:abstractNumId w:val="2"/>
  </w:num>
  <w:num w:numId="19" w16cid:durableId="1626539528">
    <w:abstractNumId w:val="35"/>
  </w:num>
  <w:num w:numId="20" w16cid:durableId="1186285702">
    <w:abstractNumId w:val="19"/>
  </w:num>
  <w:num w:numId="21" w16cid:durableId="1973442592">
    <w:abstractNumId w:val="18"/>
  </w:num>
  <w:num w:numId="22" w16cid:durableId="693043902">
    <w:abstractNumId w:val="11"/>
  </w:num>
  <w:num w:numId="23" w16cid:durableId="1083378481">
    <w:abstractNumId w:val="37"/>
  </w:num>
  <w:num w:numId="24" w16cid:durableId="267586380">
    <w:abstractNumId w:val="4"/>
  </w:num>
  <w:num w:numId="25" w16cid:durableId="1285379988">
    <w:abstractNumId w:val="3"/>
  </w:num>
  <w:num w:numId="26" w16cid:durableId="628705975">
    <w:abstractNumId w:val="15"/>
  </w:num>
  <w:num w:numId="27" w16cid:durableId="2124496022">
    <w:abstractNumId w:val="33"/>
  </w:num>
  <w:num w:numId="28" w16cid:durableId="650132974">
    <w:abstractNumId w:val="9"/>
  </w:num>
  <w:num w:numId="29" w16cid:durableId="1009986734">
    <w:abstractNumId w:val="5"/>
  </w:num>
  <w:num w:numId="30" w16cid:durableId="1033461957">
    <w:abstractNumId w:val="32"/>
  </w:num>
  <w:num w:numId="31" w16cid:durableId="179318208">
    <w:abstractNumId w:val="7"/>
  </w:num>
  <w:num w:numId="32" w16cid:durableId="1951157823">
    <w:abstractNumId w:val="24"/>
  </w:num>
  <w:num w:numId="33" w16cid:durableId="1766270541">
    <w:abstractNumId w:val="27"/>
  </w:num>
  <w:num w:numId="34" w16cid:durableId="750126995">
    <w:abstractNumId w:val="31"/>
  </w:num>
  <w:num w:numId="35" w16cid:durableId="580528647">
    <w:abstractNumId w:val="29"/>
  </w:num>
  <w:num w:numId="36" w16cid:durableId="988944450">
    <w:abstractNumId w:val="1"/>
  </w:num>
  <w:num w:numId="37" w16cid:durableId="1732969217">
    <w:abstractNumId w:val="17"/>
  </w:num>
  <w:num w:numId="38" w16cid:durableId="1107509787">
    <w:abstractNumId w:val="30"/>
  </w:num>
  <w:num w:numId="39" w16cid:durableId="1002585950">
    <w:abstractNumId w:val="16"/>
  </w:num>
  <w:num w:numId="40" w16cid:durableId="1429808270">
    <w:abstractNumId w:val="0"/>
  </w:num>
  <w:num w:numId="41" w16cid:durableId="562721845">
    <w:abstractNumId w:val="23"/>
  </w:num>
  <w:num w:numId="42" w16cid:durableId="878517531">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UwNjYyMzU1sTC2NDFR0lEKTi0uzszPAymwrAUA00EAKiwAAAA="/>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Times New Roman&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asxps0sf0v9w6epvpdxe2wosrvtt2spwt00&quot;&gt;TESTES monograph&lt;record-ids&gt;&lt;item&gt;3&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5&lt;/item&gt;&lt;item&gt;86&lt;/item&gt;&lt;item&gt;87&lt;/item&gt;&lt;item&gt;88&lt;/item&gt;&lt;item&gt;89&lt;/item&gt;&lt;item&gt;90&lt;/item&gt;&lt;item&gt;91&lt;/item&gt;&lt;item&gt;92&lt;/item&gt;&lt;item&gt;93&lt;/item&gt;&lt;item&gt;94&lt;/item&gt;&lt;item&gt;95&lt;/item&gt;&lt;item&gt;96&lt;/item&gt;&lt;item&gt;98&lt;/item&gt;&lt;item&gt;99&lt;/item&gt;&lt;item&gt;100&lt;/item&gt;&lt;item&gt;101&lt;/item&gt;&lt;item&gt;102&lt;/item&gt;&lt;item&gt;103&lt;/item&gt;&lt;item&gt;104&lt;/item&gt;&lt;item&gt;105&lt;/item&gt;&lt;item&gt;106&lt;/item&gt;&lt;item&gt;107&lt;/item&gt;&lt;item&gt;108&lt;/item&gt;&lt;item&gt;110&lt;/item&gt;&lt;item&gt;111&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1&lt;/item&gt;&lt;item&gt;152&lt;/item&gt;&lt;item&gt;153&lt;/item&gt;&lt;item&gt;154&lt;/item&gt;&lt;item&gt;155&lt;/item&gt;&lt;item&gt;159&lt;/item&gt;&lt;item&gt;160&lt;/item&gt;&lt;item&gt;161&lt;/item&gt;&lt;item&gt;162&lt;/item&gt;&lt;item&gt;163&lt;/item&gt;&lt;item&gt;164&lt;/item&gt;&lt;item&gt;165&lt;/item&gt;&lt;item&gt;166&lt;/item&gt;&lt;item&gt;167&lt;/item&gt;&lt;item&gt;168&lt;/item&gt;&lt;item&gt;169&lt;/item&gt;&lt;/record-ids&gt;&lt;/item&gt;&lt;/Libraries&gt;"/>
  </w:docVars>
  <w:rsids>
    <w:rsidRoot w:val="00325908"/>
    <w:rsid w:val="00000FF2"/>
    <w:rsid w:val="00002651"/>
    <w:rsid w:val="00002D12"/>
    <w:rsid w:val="000046A7"/>
    <w:rsid w:val="000116A3"/>
    <w:rsid w:val="00015782"/>
    <w:rsid w:val="00025758"/>
    <w:rsid w:val="00025C55"/>
    <w:rsid w:val="00030F6A"/>
    <w:rsid w:val="0003137C"/>
    <w:rsid w:val="000361B6"/>
    <w:rsid w:val="0004104D"/>
    <w:rsid w:val="00050A8B"/>
    <w:rsid w:val="00053F5F"/>
    <w:rsid w:val="00054C7A"/>
    <w:rsid w:val="00062B17"/>
    <w:rsid w:val="000654C5"/>
    <w:rsid w:val="00065E7E"/>
    <w:rsid w:val="000666C4"/>
    <w:rsid w:val="000717B0"/>
    <w:rsid w:val="000738B7"/>
    <w:rsid w:val="0007483B"/>
    <w:rsid w:val="00082494"/>
    <w:rsid w:val="00083C36"/>
    <w:rsid w:val="0008583B"/>
    <w:rsid w:val="00086100"/>
    <w:rsid w:val="00086692"/>
    <w:rsid w:val="00095FB9"/>
    <w:rsid w:val="000A785F"/>
    <w:rsid w:val="000B099C"/>
    <w:rsid w:val="000C0273"/>
    <w:rsid w:val="000C16FB"/>
    <w:rsid w:val="000C263D"/>
    <w:rsid w:val="000C6B30"/>
    <w:rsid w:val="000D04A8"/>
    <w:rsid w:val="000E15BE"/>
    <w:rsid w:val="000E6E71"/>
    <w:rsid w:val="000F1710"/>
    <w:rsid w:val="000F3FFB"/>
    <w:rsid w:val="00100D4B"/>
    <w:rsid w:val="001013D6"/>
    <w:rsid w:val="00104F3D"/>
    <w:rsid w:val="001105D1"/>
    <w:rsid w:val="00134D86"/>
    <w:rsid w:val="00136F85"/>
    <w:rsid w:val="00141AE4"/>
    <w:rsid w:val="001544BB"/>
    <w:rsid w:val="001554DA"/>
    <w:rsid w:val="00177DF1"/>
    <w:rsid w:val="00181F0C"/>
    <w:rsid w:val="001831D7"/>
    <w:rsid w:val="00183536"/>
    <w:rsid w:val="001855AB"/>
    <w:rsid w:val="001912EF"/>
    <w:rsid w:val="00192735"/>
    <w:rsid w:val="00193527"/>
    <w:rsid w:val="001961EA"/>
    <w:rsid w:val="001A3DF3"/>
    <w:rsid w:val="001A4765"/>
    <w:rsid w:val="001A6EA7"/>
    <w:rsid w:val="001B0228"/>
    <w:rsid w:val="001B052F"/>
    <w:rsid w:val="001B30A4"/>
    <w:rsid w:val="001B3732"/>
    <w:rsid w:val="001C0ADF"/>
    <w:rsid w:val="001C4766"/>
    <w:rsid w:val="001D17D7"/>
    <w:rsid w:val="001D33C0"/>
    <w:rsid w:val="001D3552"/>
    <w:rsid w:val="001D38E8"/>
    <w:rsid w:val="001D49C4"/>
    <w:rsid w:val="001D5903"/>
    <w:rsid w:val="001E1BA6"/>
    <w:rsid w:val="001E221D"/>
    <w:rsid w:val="001E24F7"/>
    <w:rsid w:val="001E6687"/>
    <w:rsid w:val="001E6A73"/>
    <w:rsid w:val="001E77C1"/>
    <w:rsid w:val="001F4A88"/>
    <w:rsid w:val="001F50A2"/>
    <w:rsid w:val="001F5D76"/>
    <w:rsid w:val="00201192"/>
    <w:rsid w:val="002017C1"/>
    <w:rsid w:val="0020649A"/>
    <w:rsid w:val="002125D9"/>
    <w:rsid w:val="00212F99"/>
    <w:rsid w:val="002130AC"/>
    <w:rsid w:val="00214CC1"/>
    <w:rsid w:val="0021598B"/>
    <w:rsid w:val="002203F0"/>
    <w:rsid w:val="0022652D"/>
    <w:rsid w:val="00226CE8"/>
    <w:rsid w:val="00226E6E"/>
    <w:rsid w:val="002306A9"/>
    <w:rsid w:val="00231296"/>
    <w:rsid w:val="00234504"/>
    <w:rsid w:val="0023531D"/>
    <w:rsid w:val="00236220"/>
    <w:rsid w:val="00243D90"/>
    <w:rsid w:val="00244453"/>
    <w:rsid w:val="00245940"/>
    <w:rsid w:val="00247307"/>
    <w:rsid w:val="00254FD7"/>
    <w:rsid w:val="00257003"/>
    <w:rsid w:val="002613CE"/>
    <w:rsid w:val="0026424B"/>
    <w:rsid w:val="00270922"/>
    <w:rsid w:val="00270990"/>
    <w:rsid w:val="002743EA"/>
    <w:rsid w:val="002829E0"/>
    <w:rsid w:val="00286EC0"/>
    <w:rsid w:val="0029206A"/>
    <w:rsid w:val="00292CD2"/>
    <w:rsid w:val="002A2E79"/>
    <w:rsid w:val="002A328E"/>
    <w:rsid w:val="002A32AB"/>
    <w:rsid w:val="002A4BBC"/>
    <w:rsid w:val="002A6777"/>
    <w:rsid w:val="002B093D"/>
    <w:rsid w:val="002B0A09"/>
    <w:rsid w:val="002B1F92"/>
    <w:rsid w:val="002B34CD"/>
    <w:rsid w:val="002B3A8F"/>
    <w:rsid w:val="002B6C60"/>
    <w:rsid w:val="002B7C74"/>
    <w:rsid w:val="002B7CBF"/>
    <w:rsid w:val="002C1337"/>
    <w:rsid w:val="002C2BA4"/>
    <w:rsid w:val="002C6B12"/>
    <w:rsid w:val="002C6B24"/>
    <w:rsid w:val="002C7F80"/>
    <w:rsid w:val="002D7670"/>
    <w:rsid w:val="002E16C7"/>
    <w:rsid w:val="002E3DB2"/>
    <w:rsid w:val="002E4320"/>
    <w:rsid w:val="002E7B9F"/>
    <w:rsid w:val="002F03BD"/>
    <w:rsid w:val="002F20A2"/>
    <w:rsid w:val="002F5452"/>
    <w:rsid w:val="002F7B11"/>
    <w:rsid w:val="00301403"/>
    <w:rsid w:val="00301F5F"/>
    <w:rsid w:val="00302DEC"/>
    <w:rsid w:val="00306C10"/>
    <w:rsid w:val="0030796C"/>
    <w:rsid w:val="00311462"/>
    <w:rsid w:val="00311F40"/>
    <w:rsid w:val="00313504"/>
    <w:rsid w:val="00313EF3"/>
    <w:rsid w:val="00317457"/>
    <w:rsid w:val="00323677"/>
    <w:rsid w:val="00323B1C"/>
    <w:rsid w:val="00323FDC"/>
    <w:rsid w:val="0032465A"/>
    <w:rsid w:val="00325438"/>
    <w:rsid w:val="00325908"/>
    <w:rsid w:val="00330FBE"/>
    <w:rsid w:val="00336E24"/>
    <w:rsid w:val="0033740A"/>
    <w:rsid w:val="003464C4"/>
    <w:rsid w:val="00346C35"/>
    <w:rsid w:val="0035098D"/>
    <w:rsid w:val="00350F35"/>
    <w:rsid w:val="00351C30"/>
    <w:rsid w:val="00357838"/>
    <w:rsid w:val="00357936"/>
    <w:rsid w:val="00364198"/>
    <w:rsid w:val="0036464D"/>
    <w:rsid w:val="003752EC"/>
    <w:rsid w:val="00376E3B"/>
    <w:rsid w:val="00377FEC"/>
    <w:rsid w:val="003803F6"/>
    <w:rsid w:val="0038490B"/>
    <w:rsid w:val="00390825"/>
    <w:rsid w:val="00391B1E"/>
    <w:rsid w:val="003943E4"/>
    <w:rsid w:val="0039645C"/>
    <w:rsid w:val="003966B1"/>
    <w:rsid w:val="00397658"/>
    <w:rsid w:val="003A19AA"/>
    <w:rsid w:val="003A4C4F"/>
    <w:rsid w:val="003A5539"/>
    <w:rsid w:val="003A7757"/>
    <w:rsid w:val="003B362B"/>
    <w:rsid w:val="003B682D"/>
    <w:rsid w:val="003B7588"/>
    <w:rsid w:val="003C0324"/>
    <w:rsid w:val="003C3481"/>
    <w:rsid w:val="003C425C"/>
    <w:rsid w:val="003C4FB5"/>
    <w:rsid w:val="003C5939"/>
    <w:rsid w:val="003D04B9"/>
    <w:rsid w:val="003D146B"/>
    <w:rsid w:val="003D6693"/>
    <w:rsid w:val="003E30C9"/>
    <w:rsid w:val="003F130A"/>
    <w:rsid w:val="003F784F"/>
    <w:rsid w:val="00401D52"/>
    <w:rsid w:val="004025D4"/>
    <w:rsid w:val="00406043"/>
    <w:rsid w:val="00410B7C"/>
    <w:rsid w:val="004114C7"/>
    <w:rsid w:val="00413450"/>
    <w:rsid w:val="004178DB"/>
    <w:rsid w:val="00417BDD"/>
    <w:rsid w:val="004239CD"/>
    <w:rsid w:val="00427155"/>
    <w:rsid w:val="00434C8B"/>
    <w:rsid w:val="00441E43"/>
    <w:rsid w:val="00443B5F"/>
    <w:rsid w:val="00450C14"/>
    <w:rsid w:val="00453178"/>
    <w:rsid w:val="00456170"/>
    <w:rsid w:val="00462E68"/>
    <w:rsid w:val="00464341"/>
    <w:rsid w:val="004644FB"/>
    <w:rsid w:val="00464A7D"/>
    <w:rsid w:val="00465F4B"/>
    <w:rsid w:val="00470C8A"/>
    <w:rsid w:val="00471B27"/>
    <w:rsid w:val="00472638"/>
    <w:rsid w:val="004732C8"/>
    <w:rsid w:val="004771C0"/>
    <w:rsid w:val="0048164D"/>
    <w:rsid w:val="004871F0"/>
    <w:rsid w:val="0048771D"/>
    <w:rsid w:val="00487D4C"/>
    <w:rsid w:val="00497385"/>
    <w:rsid w:val="004A028C"/>
    <w:rsid w:val="004A1E9A"/>
    <w:rsid w:val="004A3DE6"/>
    <w:rsid w:val="004A4E8D"/>
    <w:rsid w:val="004B0791"/>
    <w:rsid w:val="004B3C08"/>
    <w:rsid w:val="004B4831"/>
    <w:rsid w:val="004B5B3D"/>
    <w:rsid w:val="004B626F"/>
    <w:rsid w:val="004C0DC9"/>
    <w:rsid w:val="004C6BC2"/>
    <w:rsid w:val="004D3726"/>
    <w:rsid w:val="004E0BE4"/>
    <w:rsid w:val="004E3A94"/>
    <w:rsid w:val="004E41C5"/>
    <w:rsid w:val="004E52C5"/>
    <w:rsid w:val="004E56B8"/>
    <w:rsid w:val="004F0D84"/>
    <w:rsid w:val="004F5811"/>
    <w:rsid w:val="00502DAD"/>
    <w:rsid w:val="00505277"/>
    <w:rsid w:val="005103F7"/>
    <w:rsid w:val="005131FB"/>
    <w:rsid w:val="00513628"/>
    <w:rsid w:val="005159CB"/>
    <w:rsid w:val="00516B20"/>
    <w:rsid w:val="00520A9C"/>
    <w:rsid w:val="0052276D"/>
    <w:rsid w:val="00524E29"/>
    <w:rsid w:val="005250B5"/>
    <w:rsid w:val="00530617"/>
    <w:rsid w:val="00532141"/>
    <w:rsid w:val="00533B8F"/>
    <w:rsid w:val="00535005"/>
    <w:rsid w:val="0053559B"/>
    <w:rsid w:val="005379F4"/>
    <w:rsid w:val="005418E6"/>
    <w:rsid w:val="00544691"/>
    <w:rsid w:val="005518A8"/>
    <w:rsid w:val="00552F2E"/>
    <w:rsid w:val="00554F09"/>
    <w:rsid w:val="00561E06"/>
    <w:rsid w:val="00564DA7"/>
    <w:rsid w:val="005654C1"/>
    <w:rsid w:val="00567C55"/>
    <w:rsid w:val="00572D7D"/>
    <w:rsid w:val="005762A1"/>
    <w:rsid w:val="00580DC9"/>
    <w:rsid w:val="00591821"/>
    <w:rsid w:val="00596A1F"/>
    <w:rsid w:val="00597440"/>
    <w:rsid w:val="00597586"/>
    <w:rsid w:val="005A05E2"/>
    <w:rsid w:val="005A24D5"/>
    <w:rsid w:val="005A5151"/>
    <w:rsid w:val="005A669E"/>
    <w:rsid w:val="005A6739"/>
    <w:rsid w:val="005A79D1"/>
    <w:rsid w:val="005B0FBB"/>
    <w:rsid w:val="005B445E"/>
    <w:rsid w:val="005B5C86"/>
    <w:rsid w:val="005C658D"/>
    <w:rsid w:val="005C67B2"/>
    <w:rsid w:val="005D2AAE"/>
    <w:rsid w:val="005D37E0"/>
    <w:rsid w:val="005D4EFE"/>
    <w:rsid w:val="005E0645"/>
    <w:rsid w:val="005E0A57"/>
    <w:rsid w:val="005E0C28"/>
    <w:rsid w:val="005E2AB3"/>
    <w:rsid w:val="005E414B"/>
    <w:rsid w:val="005E49E1"/>
    <w:rsid w:val="005E4F47"/>
    <w:rsid w:val="005E4FA5"/>
    <w:rsid w:val="005F0DD1"/>
    <w:rsid w:val="005F1552"/>
    <w:rsid w:val="005F47BB"/>
    <w:rsid w:val="00607263"/>
    <w:rsid w:val="0061137D"/>
    <w:rsid w:val="0061471A"/>
    <w:rsid w:val="006148A2"/>
    <w:rsid w:val="006164E0"/>
    <w:rsid w:val="00617341"/>
    <w:rsid w:val="00617B45"/>
    <w:rsid w:val="00627C3E"/>
    <w:rsid w:val="00634AE6"/>
    <w:rsid w:val="006364F1"/>
    <w:rsid w:val="006378B8"/>
    <w:rsid w:val="00641001"/>
    <w:rsid w:val="006453DA"/>
    <w:rsid w:val="00647149"/>
    <w:rsid w:val="00651DCA"/>
    <w:rsid w:val="00655D91"/>
    <w:rsid w:val="006604F0"/>
    <w:rsid w:val="006635FF"/>
    <w:rsid w:val="0066418B"/>
    <w:rsid w:val="006654E5"/>
    <w:rsid w:val="00665694"/>
    <w:rsid w:val="00665BED"/>
    <w:rsid w:val="006709B8"/>
    <w:rsid w:val="0067307C"/>
    <w:rsid w:val="006750A3"/>
    <w:rsid w:val="0067612F"/>
    <w:rsid w:val="00676FA6"/>
    <w:rsid w:val="00677EC9"/>
    <w:rsid w:val="00681067"/>
    <w:rsid w:val="0068147D"/>
    <w:rsid w:val="0068198A"/>
    <w:rsid w:val="006822BE"/>
    <w:rsid w:val="00690808"/>
    <w:rsid w:val="006932A2"/>
    <w:rsid w:val="006A63DE"/>
    <w:rsid w:val="006A6B08"/>
    <w:rsid w:val="006B1CA3"/>
    <w:rsid w:val="006B26AF"/>
    <w:rsid w:val="006B2E5F"/>
    <w:rsid w:val="006B617C"/>
    <w:rsid w:val="006C03D7"/>
    <w:rsid w:val="006C09C1"/>
    <w:rsid w:val="006C2122"/>
    <w:rsid w:val="006C49FB"/>
    <w:rsid w:val="006D0528"/>
    <w:rsid w:val="006D0E52"/>
    <w:rsid w:val="006D15D2"/>
    <w:rsid w:val="006D1FFD"/>
    <w:rsid w:val="006D2E32"/>
    <w:rsid w:val="006D3349"/>
    <w:rsid w:val="006D5E56"/>
    <w:rsid w:val="006D71A0"/>
    <w:rsid w:val="006E04CE"/>
    <w:rsid w:val="006E09F5"/>
    <w:rsid w:val="006E1348"/>
    <w:rsid w:val="006E2408"/>
    <w:rsid w:val="006E54B8"/>
    <w:rsid w:val="006F4BE1"/>
    <w:rsid w:val="006F5BB0"/>
    <w:rsid w:val="006F73D2"/>
    <w:rsid w:val="00703D6E"/>
    <w:rsid w:val="00704837"/>
    <w:rsid w:val="00706B24"/>
    <w:rsid w:val="00707D71"/>
    <w:rsid w:val="0071256F"/>
    <w:rsid w:val="0071370B"/>
    <w:rsid w:val="007154F6"/>
    <w:rsid w:val="00716EAD"/>
    <w:rsid w:val="007172DC"/>
    <w:rsid w:val="00723CEC"/>
    <w:rsid w:val="0072500D"/>
    <w:rsid w:val="00733A2B"/>
    <w:rsid w:val="00735740"/>
    <w:rsid w:val="00735BFB"/>
    <w:rsid w:val="00740BEC"/>
    <w:rsid w:val="00742ED8"/>
    <w:rsid w:val="00745B86"/>
    <w:rsid w:val="00751031"/>
    <w:rsid w:val="00751057"/>
    <w:rsid w:val="00753393"/>
    <w:rsid w:val="00754565"/>
    <w:rsid w:val="00761005"/>
    <w:rsid w:val="007624A2"/>
    <w:rsid w:val="00763804"/>
    <w:rsid w:val="00765939"/>
    <w:rsid w:val="007659F0"/>
    <w:rsid w:val="00770C44"/>
    <w:rsid w:val="00773D86"/>
    <w:rsid w:val="00774529"/>
    <w:rsid w:val="00775322"/>
    <w:rsid w:val="00783E24"/>
    <w:rsid w:val="007911B1"/>
    <w:rsid w:val="00791A85"/>
    <w:rsid w:val="00793ADB"/>
    <w:rsid w:val="007A3D11"/>
    <w:rsid w:val="007A4358"/>
    <w:rsid w:val="007B2EB0"/>
    <w:rsid w:val="007B2F58"/>
    <w:rsid w:val="007C0238"/>
    <w:rsid w:val="007C1AD1"/>
    <w:rsid w:val="007D119E"/>
    <w:rsid w:val="007D53D0"/>
    <w:rsid w:val="007D6AD5"/>
    <w:rsid w:val="007E07B4"/>
    <w:rsid w:val="007E2085"/>
    <w:rsid w:val="007E402A"/>
    <w:rsid w:val="007E5A94"/>
    <w:rsid w:val="007F4FA8"/>
    <w:rsid w:val="007F60D1"/>
    <w:rsid w:val="007F7A62"/>
    <w:rsid w:val="007F7BAF"/>
    <w:rsid w:val="00803815"/>
    <w:rsid w:val="00811CC5"/>
    <w:rsid w:val="00813070"/>
    <w:rsid w:val="008137F7"/>
    <w:rsid w:val="00815CAF"/>
    <w:rsid w:val="008175B0"/>
    <w:rsid w:val="008179BE"/>
    <w:rsid w:val="00817CE1"/>
    <w:rsid w:val="00821D07"/>
    <w:rsid w:val="00824998"/>
    <w:rsid w:val="00824AD9"/>
    <w:rsid w:val="008264B7"/>
    <w:rsid w:val="00830A1F"/>
    <w:rsid w:val="00832AB1"/>
    <w:rsid w:val="0083416A"/>
    <w:rsid w:val="00835A5D"/>
    <w:rsid w:val="00837534"/>
    <w:rsid w:val="00842F1E"/>
    <w:rsid w:val="008445E5"/>
    <w:rsid w:val="00847BDF"/>
    <w:rsid w:val="0085376C"/>
    <w:rsid w:val="00854ECF"/>
    <w:rsid w:val="0085680F"/>
    <w:rsid w:val="008569DD"/>
    <w:rsid w:val="0086056F"/>
    <w:rsid w:val="00861301"/>
    <w:rsid w:val="008620B0"/>
    <w:rsid w:val="00867534"/>
    <w:rsid w:val="00870A56"/>
    <w:rsid w:val="00871247"/>
    <w:rsid w:val="0087137F"/>
    <w:rsid w:val="00871AE4"/>
    <w:rsid w:val="00871F95"/>
    <w:rsid w:val="0087201E"/>
    <w:rsid w:val="00882B89"/>
    <w:rsid w:val="00885308"/>
    <w:rsid w:val="00893E27"/>
    <w:rsid w:val="00895069"/>
    <w:rsid w:val="00895AA4"/>
    <w:rsid w:val="008A21AE"/>
    <w:rsid w:val="008A3FED"/>
    <w:rsid w:val="008A451C"/>
    <w:rsid w:val="008A467A"/>
    <w:rsid w:val="008A608A"/>
    <w:rsid w:val="008B1739"/>
    <w:rsid w:val="008B1AB1"/>
    <w:rsid w:val="008B4D3C"/>
    <w:rsid w:val="008C04FB"/>
    <w:rsid w:val="008C0B6A"/>
    <w:rsid w:val="008C1042"/>
    <w:rsid w:val="008C1ED6"/>
    <w:rsid w:val="008C1FC9"/>
    <w:rsid w:val="008C6CA3"/>
    <w:rsid w:val="008D1683"/>
    <w:rsid w:val="008D24BB"/>
    <w:rsid w:val="008D29C3"/>
    <w:rsid w:val="008D41B5"/>
    <w:rsid w:val="008D4BAD"/>
    <w:rsid w:val="008E2834"/>
    <w:rsid w:val="008E343B"/>
    <w:rsid w:val="008E586B"/>
    <w:rsid w:val="008E6CCC"/>
    <w:rsid w:val="008E782E"/>
    <w:rsid w:val="008F045D"/>
    <w:rsid w:val="008F09FF"/>
    <w:rsid w:val="008F450A"/>
    <w:rsid w:val="008F4D81"/>
    <w:rsid w:val="008F6EC3"/>
    <w:rsid w:val="00902FA5"/>
    <w:rsid w:val="00904768"/>
    <w:rsid w:val="0090562E"/>
    <w:rsid w:val="00906ADB"/>
    <w:rsid w:val="0090721F"/>
    <w:rsid w:val="00907C23"/>
    <w:rsid w:val="00910F0B"/>
    <w:rsid w:val="00912B30"/>
    <w:rsid w:val="00912D65"/>
    <w:rsid w:val="00916B73"/>
    <w:rsid w:val="00920DE2"/>
    <w:rsid w:val="00921BE0"/>
    <w:rsid w:val="00923373"/>
    <w:rsid w:val="00923DAB"/>
    <w:rsid w:val="00932249"/>
    <w:rsid w:val="00932936"/>
    <w:rsid w:val="0093382B"/>
    <w:rsid w:val="00940AA1"/>
    <w:rsid w:val="0094435D"/>
    <w:rsid w:val="009467F6"/>
    <w:rsid w:val="00950931"/>
    <w:rsid w:val="00952F63"/>
    <w:rsid w:val="009548E0"/>
    <w:rsid w:val="00954AF8"/>
    <w:rsid w:val="0095799E"/>
    <w:rsid w:val="00964139"/>
    <w:rsid w:val="00965FF9"/>
    <w:rsid w:val="009669CC"/>
    <w:rsid w:val="0097645E"/>
    <w:rsid w:val="00981491"/>
    <w:rsid w:val="00982098"/>
    <w:rsid w:val="00984D8F"/>
    <w:rsid w:val="00985FA8"/>
    <w:rsid w:val="00995660"/>
    <w:rsid w:val="009A13B8"/>
    <w:rsid w:val="009B1C8C"/>
    <w:rsid w:val="009B43F3"/>
    <w:rsid w:val="009B5D29"/>
    <w:rsid w:val="009B608A"/>
    <w:rsid w:val="009C1446"/>
    <w:rsid w:val="009C3FD8"/>
    <w:rsid w:val="009C4A29"/>
    <w:rsid w:val="009C4DF9"/>
    <w:rsid w:val="009C6495"/>
    <w:rsid w:val="009C7562"/>
    <w:rsid w:val="009D1C68"/>
    <w:rsid w:val="009D22F0"/>
    <w:rsid w:val="009D38D0"/>
    <w:rsid w:val="009D5108"/>
    <w:rsid w:val="009E2BF3"/>
    <w:rsid w:val="009E434E"/>
    <w:rsid w:val="009E51F3"/>
    <w:rsid w:val="009F0D44"/>
    <w:rsid w:val="009F1686"/>
    <w:rsid w:val="009F205F"/>
    <w:rsid w:val="009F33FC"/>
    <w:rsid w:val="009F3A5D"/>
    <w:rsid w:val="009F4EF4"/>
    <w:rsid w:val="009F721C"/>
    <w:rsid w:val="00A02581"/>
    <w:rsid w:val="00A02DC2"/>
    <w:rsid w:val="00A06B68"/>
    <w:rsid w:val="00A16637"/>
    <w:rsid w:val="00A17B49"/>
    <w:rsid w:val="00A20103"/>
    <w:rsid w:val="00A22BA8"/>
    <w:rsid w:val="00A23213"/>
    <w:rsid w:val="00A25E7D"/>
    <w:rsid w:val="00A27EA1"/>
    <w:rsid w:val="00A3585A"/>
    <w:rsid w:val="00A36A90"/>
    <w:rsid w:val="00A4030F"/>
    <w:rsid w:val="00A424A1"/>
    <w:rsid w:val="00A45334"/>
    <w:rsid w:val="00A547EC"/>
    <w:rsid w:val="00A560B1"/>
    <w:rsid w:val="00A5688D"/>
    <w:rsid w:val="00A57F9F"/>
    <w:rsid w:val="00A6038B"/>
    <w:rsid w:val="00A62897"/>
    <w:rsid w:val="00A666E0"/>
    <w:rsid w:val="00A74FDE"/>
    <w:rsid w:val="00A8051F"/>
    <w:rsid w:val="00A80C4A"/>
    <w:rsid w:val="00A81417"/>
    <w:rsid w:val="00A8731E"/>
    <w:rsid w:val="00A900DD"/>
    <w:rsid w:val="00A90A4B"/>
    <w:rsid w:val="00A9331A"/>
    <w:rsid w:val="00A945A3"/>
    <w:rsid w:val="00A95D13"/>
    <w:rsid w:val="00A965C7"/>
    <w:rsid w:val="00A9667A"/>
    <w:rsid w:val="00A976E6"/>
    <w:rsid w:val="00AA5096"/>
    <w:rsid w:val="00AA5349"/>
    <w:rsid w:val="00AA6D57"/>
    <w:rsid w:val="00AA702E"/>
    <w:rsid w:val="00AA7E39"/>
    <w:rsid w:val="00AB190C"/>
    <w:rsid w:val="00AB1DAA"/>
    <w:rsid w:val="00AB49C4"/>
    <w:rsid w:val="00AB5F4C"/>
    <w:rsid w:val="00AB71E9"/>
    <w:rsid w:val="00AC43CB"/>
    <w:rsid w:val="00AC4D1C"/>
    <w:rsid w:val="00AC6062"/>
    <w:rsid w:val="00AC6F65"/>
    <w:rsid w:val="00AC7BC3"/>
    <w:rsid w:val="00AD33D9"/>
    <w:rsid w:val="00AD695B"/>
    <w:rsid w:val="00AE06EC"/>
    <w:rsid w:val="00AE1E34"/>
    <w:rsid w:val="00AE2037"/>
    <w:rsid w:val="00AE35D4"/>
    <w:rsid w:val="00AF079E"/>
    <w:rsid w:val="00AF1E18"/>
    <w:rsid w:val="00AF3321"/>
    <w:rsid w:val="00AF3CA8"/>
    <w:rsid w:val="00AF5667"/>
    <w:rsid w:val="00B05691"/>
    <w:rsid w:val="00B057D0"/>
    <w:rsid w:val="00B12AE7"/>
    <w:rsid w:val="00B22049"/>
    <w:rsid w:val="00B30376"/>
    <w:rsid w:val="00B30BDF"/>
    <w:rsid w:val="00B31FCF"/>
    <w:rsid w:val="00B3214F"/>
    <w:rsid w:val="00B33934"/>
    <w:rsid w:val="00B34B38"/>
    <w:rsid w:val="00B3633B"/>
    <w:rsid w:val="00B37338"/>
    <w:rsid w:val="00B41A72"/>
    <w:rsid w:val="00B43601"/>
    <w:rsid w:val="00B508A3"/>
    <w:rsid w:val="00B51DA3"/>
    <w:rsid w:val="00B6045E"/>
    <w:rsid w:val="00B703CD"/>
    <w:rsid w:val="00B70C92"/>
    <w:rsid w:val="00B7183E"/>
    <w:rsid w:val="00B74095"/>
    <w:rsid w:val="00B836AC"/>
    <w:rsid w:val="00B84598"/>
    <w:rsid w:val="00B86C43"/>
    <w:rsid w:val="00B90472"/>
    <w:rsid w:val="00B94C59"/>
    <w:rsid w:val="00B974DA"/>
    <w:rsid w:val="00BA4E6E"/>
    <w:rsid w:val="00BA4EF2"/>
    <w:rsid w:val="00BA72B3"/>
    <w:rsid w:val="00BB0ACA"/>
    <w:rsid w:val="00BB455C"/>
    <w:rsid w:val="00BB7F47"/>
    <w:rsid w:val="00BC21B0"/>
    <w:rsid w:val="00BC6C71"/>
    <w:rsid w:val="00BE41E9"/>
    <w:rsid w:val="00BE593A"/>
    <w:rsid w:val="00BF30D6"/>
    <w:rsid w:val="00C01453"/>
    <w:rsid w:val="00C01864"/>
    <w:rsid w:val="00C0196B"/>
    <w:rsid w:val="00C01CCA"/>
    <w:rsid w:val="00C03DCB"/>
    <w:rsid w:val="00C07A4A"/>
    <w:rsid w:val="00C10A03"/>
    <w:rsid w:val="00C119CF"/>
    <w:rsid w:val="00C12838"/>
    <w:rsid w:val="00C17D9F"/>
    <w:rsid w:val="00C26E92"/>
    <w:rsid w:val="00C272AA"/>
    <w:rsid w:val="00C2763C"/>
    <w:rsid w:val="00C32618"/>
    <w:rsid w:val="00C351FE"/>
    <w:rsid w:val="00C37367"/>
    <w:rsid w:val="00C41811"/>
    <w:rsid w:val="00C42BF3"/>
    <w:rsid w:val="00C55003"/>
    <w:rsid w:val="00C57DE5"/>
    <w:rsid w:val="00C63E34"/>
    <w:rsid w:val="00C724BD"/>
    <w:rsid w:val="00C7431B"/>
    <w:rsid w:val="00C76638"/>
    <w:rsid w:val="00C772AF"/>
    <w:rsid w:val="00C81C0A"/>
    <w:rsid w:val="00C828D8"/>
    <w:rsid w:val="00C84819"/>
    <w:rsid w:val="00C85334"/>
    <w:rsid w:val="00C85D8E"/>
    <w:rsid w:val="00C905AE"/>
    <w:rsid w:val="00C92519"/>
    <w:rsid w:val="00C9328D"/>
    <w:rsid w:val="00CA39DF"/>
    <w:rsid w:val="00CA50F9"/>
    <w:rsid w:val="00CA7F90"/>
    <w:rsid w:val="00CB225D"/>
    <w:rsid w:val="00CB23C3"/>
    <w:rsid w:val="00CB283D"/>
    <w:rsid w:val="00CB28E5"/>
    <w:rsid w:val="00CB51AF"/>
    <w:rsid w:val="00CC2592"/>
    <w:rsid w:val="00CC2F17"/>
    <w:rsid w:val="00CC650D"/>
    <w:rsid w:val="00CD00C4"/>
    <w:rsid w:val="00CD0569"/>
    <w:rsid w:val="00CD0F77"/>
    <w:rsid w:val="00CD1971"/>
    <w:rsid w:val="00CD2455"/>
    <w:rsid w:val="00CD3679"/>
    <w:rsid w:val="00CD416F"/>
    <w:rsid w:val="00CD58E1"/>
    <w:rsid w:val="00CD6C0D"/>
    <w:rsid w:val="00CE2A14"/>
    <w:rsid w:val="00CE4478"/>
    <w:rsid w:val="00CE6F57"/>
    <w:rsid w:val="00CF2BA6"/>
    <w:rsid w:val="00CF49C2"/>
    <w:rsid w:val="00CF4A7D"/>
    <w:rsid w:val="00CF4E24"/>
    <w:rsid w:val="00CF53CD"/>
    <w:rsid w:val="00CF6552"/>
    <w:rsid w:val="00CF6D9C"/>
    <w:rsid w:val="00D01440"/>
    <w:rsid w:val="00D016B1"/>
    <w:rsid w:val="00D0399D"/>
    <w:rsid w:val="00D0744D"/>
    <w:rsid w:val="00D1039F"/>
    <w:rsid w:val="00D12E18"/>
    <w:rsid w:val="00D1381A"/>
    <w:rsid w:val="00D15A14"/>
    <w:rsid w:val="00D16595"/>
    <w:rsid w:val="00D2202B"/>
    <w:rsid w:val="00D223F3"/>
    <w:rsid w:val="00D22EB0"/>
    <w:rsid w:val="00D2607E"/>
    <w:rsid w:val="00D26646"/>
    <w:rsid w:val="00D30335"/>
    <w:rsid w:val="00D32051"/>
    <w:rsid w:val="00D426A9"/>
    <w:rsid w:val="00D577E9"/>
    <w:rsid w:val="00D61F0E"/>
    <w:rsid w:val="00D62650"/>
    <w:rsid w:val="00D62840"/>
    <w:rsid w:val="00D62BA4"/>
    <w:rsid w:val="00D656EC"/>
    <w:rsid w:val="00D674DE"/>
    <w:rsid w:val="00D73245"/>
    <w:rsid w:val="00D73B6A"/>
    <w:rsid w:val="00D84BA1"/>
    <w:rsid w:val="00D90276"/>
    <w:rsid w:val="00D958AA"/>
    <w:rsid w:val="00DA40E8"/>
    <w:rsid w:val="00DA6FB1"/>
    <w:rsid w:val="00DA7A27"/>
    <w:rsid w:val="00DB3195"/>
    <w:rsid w:val="00DB4350"/>
    <w:rsid w:val="00DB4722"/>
    <w:rsid w:val="00DB76CB"/>
    <w:rsid w:val="00DC28A6"/>
    <w:rsid w:val="00DC2CC0"/>
    <w:rsid w:val="00DC4196"/>
    <w:rsid w:val="00DC45E1"/>
    <w:rsid w:val="00DC66CA"/>
    <w:rsid w:val="00DC697D"/>
    <w:rsid w:val="00DD050F"/>
    <w:rsid w:val="00DD3652"/>
    <w:rsid w:val="00DE0926"/>
    <w:rsid w:val="00DF0018"/>
    <w:rsid w:val="00DF0603"/>
    <w:rsid w:val="00DF06A8"/>
    <w:rsid w:val="00DF072A"/>
    <w:rsid w:val="00DF5E4F"/>
    <w:rsid w:val="00DF736C"/>
    <w:rsid w:val="00E00EC4"/>
    <w:rsid w:val="00E038D5"/>
    <w:rsid w:val="00E0420E"/>
    <w:rsid w:val="00E07BCB"/>
    <w:rsid w:val="00E108B7"/>
    <w:rsid w:val="00E12265"/>
    <w:rsid w:val="00E12AF4"/>
    <w:rsid w:val="00E17488"/>
    <w:rsid w:val="00E22887"/>
    <w:rsid w:val="00E238C1"/>
    <w:rsid w:val="00E262B3"/>
    <w:rsid w:val="00E269C9"/>
    <w:rsid w:val="00E31F33"/>
    <w:rsid w:val="00E33147"/>
    <w:rsid w:val="00E374AB"/>
    <w:rsid w:val="00E4027F"/>
    <w:rsid w:val="00E41140"/>
    <w:rsid w:val="00E44EE6"/>
    <w:rsid w:val="00E46DF7"/>
    <w:rsid w:val="00E50F38"/>
    <w:rsid w:val="00E537DF"/>
    <w:rsid w:val="00E53EB5"/>
    <w:rsid w:val="00E559D2"/>
    <w:rsid w:val="00E56813"/>
    <w:rsid w:val="00E60748"/>
    <w:rsid w:val="00E627A8"/>
    <w:rsid w:val="00E630AE"/>
    <w:rsid w:val="00E66035"/>
    <w:rsid w:val="00E70E38"/>
    <w:rsid w:val="00E71FAD"/>
    <w:rsid w:val="00E72012"/>
    <w:rsid w:val="00E72A0C"/>
    <w:rsid w:val="00E72F17"/>
    <w:rsid w:val="00E75A50"/>
    <w:rsid w:val="00E765BE"/>
    <w:rsid w:val="00E80206"/>
    <w:rsid w:val="00E826CF"/>
    <w:rsid w:val="00E87678"/>
    <w:rsid w:val="00E9048B"/>
    <w:rsid w:val="00E91726"/>
    <w:rsid w:val="00E92166"/>
    <w:rsid w:val="00E93E35"/>
    <w:rsid w:val="00E946A9"/>
    <w:rsid w:val="00E96583"/>
    <w:rsid w:val="00E976B0"/>
    <w:rsid w:val="00EA1974"/>
    <w:rsid w:val="00EA1A76"/>
    <w:rsid w:val="00EA5478"/>
    <w:rsid w:val="00EA5F49"/>
    <w:rsid w:val="00EA69B8"/>
    <w:rsid w:val="00EB161A"/>
    <w:rsid w:val="00EB2D8D"/>
    <w:rsid w:val="00EB5552"/>
    <w:rsid w:val="00EB7F80"/>
    <w:rsid w:val="00EC1158"/>
    <w:rsid w:val="00ED1055"/>
    <w:rsid w:val="00ED1D78"/>
    <w:rsid w:val="00ED1DDB"/>
    <w:rsid w:val="00ED53B2"/>
    <w:rsid w:val="00EE2B20"/>
    <w:rsid w:val="00EE33C0"/>
    <w:rsid w:val="00EE5F16"/>
    <w:rsid w:val="00EE650E"/>
    <w:rsid w:val="00EF0273"/>
    <w:rsid w:val="00EF2A44"/>
    <w:rsid w:val="00EF311A"/>
    <w:rsid w:val="00EF4F14"/>
    <w:rsid w:val="00EF680D"/>
    <w:rsid w:val="00F03CA2"/>
    <w:rsid w:val="00F05673"/>
    <w:rsid w:val="00F10A95"/>
    <w:rsid w:val="00F129CB"/>
    <w:rsid w:val="00F16126"/>
    <w:rsid w:val="00F20E63"/>
    <w:rsid w:val="00F219D6"/>
    <w:rsid w:val="00F22B52"/>
    <w:rsid w:val="00F27E12"/>
    <w:rsid w:val="00F307DA"/>
    <w:rsid w:val="00F41AF2"/>
    <w:rsid w:val="00F43CE7"/>
    <w:rsid w:val="00F448A7"/>
    <w:rsid w:val="00F45B56"/>
    <w:rsid w:val="00F465F9"/>
    <w:rsid w:val="00F46CC1"/>
    <w:rsid w:val="00F500AE"/>
    <w:rsid w:val="00F504A7"/>
    <w:rsid w:val="00F50EDA"/>
    <w:rsid w:val="00F514DA"/>
    <w:rsid w:val="00F523D7"/>
    <w:rsid w:val="00F54792"/>
    <w:rsid w:val="00F54F2F"/>
    <w:rsid w:val="00F56522"/>
    <w:rsid w:val="00F575DE"/>
    <w:rsid w:val="00F606B6"/>
    <w:rsid w:val="00F6171C"/>
    <w:rsid w:val="00F63661"/>
    <w:rsid w:val="00F64A5B"/>
    <w:rsid w:val="00F67A26"/>
    <w:rsid w:val="00F700F3"/>
    <w:rsid w:val="00F70626"/>
    <w:rsid w:val="00F71DCE"/>
    <w:rsid w:val="00F72E50"/>
    <w:rsid w:val="00F73C8B"/>
    <w:rsid w:val="00F77F99"/>
    <w:rsid w:val="00F83337"/>
    <w:rsid w:val="00F91190"/>
    <w:rsid w:val="00F91E3D"/>
    <w:rsid w:val="00F921AD"/>
    <w:rsid w:val="00F95182"/>
    <w:rsid w:val="00FA5177"/>
    <w:rsid w:val="00FB05D1"/>
    <w:rsid w:val="00FB69F2"/>
    <w:rsid w:val="00FB7B3A"/>
    <w:rsid w:val="00FC19F4"/>
    <w:rsid w:val="00FC25CF"/>
    <w:rsid w:val="00FC59D4"/>
    <w:rsid w:val="00FC5F7D"/>
    <w:rsid w:val="00FD28C1"/>
    <w:rsid w:val="00FD3287"/>
    <w:rsid w:val="00FD331E"/>
    <w:rsid w:val="00FD4B44"/>
    <w:rsid w:val="00FD52A3"/>
    <w:rsid w:val="00FE1197"/>
    <w:rsid w:val="00FE1374"/>
    <w:rsid w:val="00FE1942"/>
    <w:rsid w:val="00FE19B4"/>
    <w:rsid w:val="00FE2B14"/>
    <w:rsid w:val="00FE3C09"/>
    <w:rsid w:val="00FE4F40"/>
    <w:rsid w:val="00FE5D9E"/>
    <w:rsid w:val="00FE6D25"/>
    <w:rsid w:val="00FF04DD"/>
    <w:rsid w:val="00FF2E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590C"/>
  <w15:docId w15:val="{550022D1-5291-4765-95BC-2BFFA5520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638"/>
    <w:pPr>
      <w:spacing w:after="0" w:line="360" w:lineRule="auto"/>
    </w:pPr>
    <w:rPr>
      <w:rFonts w:ascii="Times New Roman" w:eastAsiaTheme="minorEastAsia" w:hAnsi="Times New Roman"/>
      <w:sz w:val="24"/>
      <w:lang w:val="en-US" w:bidi="en-US"/>
    </w:rPr>
  </w:style>
  <w:style w:type="paragraph" w:styleId="Heading1">
    <w:name w:val="heading 1"/>
    <w:basedOn w:val="Normal"/>
    <w:next w:val="Normal"/>
    <w:link w:val="Heading1Char"/>
    <w:qFormat/>
    <w:rsid w:val="000B099C"/>
    <w:pPr>
      <w:keepNext/>
      <w:outlineLvl w:val="0"/>
    </w:pPr>
    <w:rPr>
      <w:rFonts w:eastAsiaTheme="minorHAnsi" w:cs="Arial"/>
      <w:b/>
      <w:bCs/>
      <w:kern w:val="32"/>
      <w:sz w:val="28"/>
      <w:szCs w:val="32"/>
      <w:lang w:val="en-GB" w:eastAsia="en-GB" w:bidi="ar-SA"/>
    </w:rPr>
  </w:style>
  <w:style w:type="paragraph" w:styleId="Heading2">
    <w:name w:val="heading 2"/>
    <w:basedOn w:val="Normal"/>
    <w:next w:val="Normal"/>
    <w:link w:val="Heading2Char"/>
    <w:uiPriority w:val="9"/>
    <w:qFormat/>
    <w:rsid w:val="000B099C"/>
    <w:pPr>
      <w:keepNext/>
      <w:outlineLvl w:val="1"/>
    </w:pPr>
    <w:rPr>
      <w:rFonts w:eastAsiaTheme="minorHAnsi" w:cs="Arial"/>
      <w:b/>
      <w:bCs/>
      <w:iCs/>
      <w:szCs w:val="28"/>
      <w:lang w:val="en-GB" w:eastAsia="en-GB" w:bidi="ar-SA"/>
    </w:rPr>
  </w:style>
  <w:style w:type="paragraph" w:styleId="Heading3">
    <w:name w:val="heading 3"/>
    <w:basedOn w:val="Normal"/>
    <w:next w:val="Normal"/>
    <w:link w:val="Heading3Char"/>
    <w:unhideWhenUsed/>
    <w:qFormat/>
    <w:rsid w:val="000B099C"/>
    <w:pPr>
      <w:keepNext/>
      <w:outlineLvl w:val="2"/>
    </w:pPr>
    <w:rPr>
      <w:rFonts w:eastAsiaTheme="majorEastAsia" w:cstheme="majorBidi"/>
      <w:b/>
      <w:bCs/>
      <w:i/>
      <w:szCs w:val="26"/>
      <w:lang w:val="en-GB" w:eastAsia="en-GB" w:bidi="ar-SA"/>
    </w:rPr>
  </w:style>
  <w:style w:type="paragraph" w:styleId="Heading4">
    <w:name w:val="heading 4"/>
    <w:basedOn w:val="Normal"/>
    <w:next w:val="Normal"/>
    <w:link w:val="Heading4Char"/>
    <w:uiPriority w:val="9"/>
    <w:unhideWhenUsed/>
    <w:qFormat/>
    <w:rsid w:val="000B099C"/>
    <w:pPr>
      <w:keepNext/>
      <w:keepLines/>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0B099C"/>
    <w:pPr>
      <w:keepNext/>
      <w:keepLines/>
      <w:spacing w:before="200"/>
      <w:outlineLvl w:val="4"/>
    </w:pPr>
    <w:rPr>
      <w:rFonts w:eastAsiaTheme="majorEastAsia" w:cstheme="majorBidi"/>
    </w:rPr>
  </w:style>
  <w:style w:type="paragraph" w:styleId="Heading6">
    <w:name w:val="heading 6"/>
    <w:basedOn w:val="Normal"/>
    <w:next w:val="Normal"/>
    <w:link w:val="Heading6Char"/>
    <w:uiPriority w:val="9"/>
    <w:unhideWhenUsed/>
    <w:qFormat/>
    <w:rsid w:val="00A62897"/>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A6289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A62897"/>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A62897"/>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5349"/>
    <w:rPr>
      <w:rFonts w:ascii="Times New Roman" w:hAnsi="Times New Roman" w:cs="Arial"/>
      <w:b/>
      <w:bCs/>
      <w:kern w:val="32"/>
      <w:sz w:val="28"/>
      <w:szCs w:val="32"/>
      <w:lang w:eastAsia="en-GB"/>
    </w:rPr>
  </w:style>
  <w:style w:type="character" w:customStyle="1" w:styleId="Heading2Char">
    <w:name w:val="Heading 2 Char"/>
    <w:basedOn w:val="DefaultParagraphFont"/>
    <w:link w:val="Heading2"/>
    <w:uiPriority w:val="9"/>
    <w:rsid w:val="00472638"/>
    <w:rPr>
      <w:rFonts w:ascii="Times New Roman" w:hAnsi="Times New Roman" w:cs="Arial"/>
      <w:b/>
      <w:bCs/>
      <w:iCs/>
      <w:sz w:val="24"/>
      <w:szCs w:val="28"/>
      <w:lang w:eastAsia="en-GB"/>
    </w:rPr>
  </w:style>
  <w:style w:type="character" w:customStyle="1" w:styleId="Heading3Char">
    <w:name w:val="Heading 3 Char"/>
    <w:basedOn w:val="DefaultParagraphFont"/>
    <w:link w:val="Heading3"/>
    <w:rsid w:val="006378B8"/>
    <w:rPr>
      <w:rFonts w:ascii="Times New Roman" w:eastAsiaTheme="majorEastAsia" w:hAnsi="Times New Roman" w:cstheme="majorBidi"/>
      <w:b/>
      <w:bCs/>
      <w:i/>
      <w:sz w:val="24"/>
      <w:szCs w:val="26"/>
      <w:lang w:eastAsia="en-GB"/>
    </w:rPr>
  </w:style>
  <w:style w:type="paragraph" w:customStyle="1" w:styleId="Default">
    <w:name w:val="Default"/>
    <w:uiPriority w:val="99"/>
    <w:rsid w:val="00313E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E537DF"/>
    <w:pPr>
      <w:ind w:left="720"/>
      <w:contextualSpacing/>
    </w:pPr>
  </w:style>
  <w:style w:type="character" w:styleId="CommentReference">
    <w:name w:val="annotation reference"/>
    <w:basedOn w:val="DefaultParagraphFont"/>
    <w:uiPriority w:val="99"/>
    <w:unhideWhenUsed/>
    <w:qFormat/>
    <w:rsid w:val="008F6EC3"/>
    <w:rPr>
      <w:sz w:val="16"/>
      <w:szCs w:val="16"/>
    </w:rPr>
  </w:style>
  <w:style w:type="paragraph" w:styleId="CommentText">
    <w:name w:val="annotation text"/>
    <w:basedOn w:val="Normal"/>
    <w:link w:val="CommentTextChar"/>
    <w:uiPriority w:val="99"/>
    <w:unhideWhenUsed/>
    <w:qFormat/>
    <w:rsid w:val="008F6EC3"/>
    <w:pPr>
      <w:spacing w:line="240" w:lineRule="auto"/>
    </w:pPr>
    <w:rPr>
      <w:sz w:val="20"/>
      <w:szCs w:val="20"/>
    </w:rPr>
  </w:style>
  <w:style w:type="character" w:customStyle="1" w:styleId="CommentTextChar">
    <w:name w:val="Comment Text Char"/>
    <w:basedOn w:val="DefaultParagraphFont"/>
    <w:link w:val="CommentText"/>
    <w:uiPriority w:val="99"/>
    <w:qFormat/>
    <w:rsid w:val="008F6EC3"/>
    <w:rPr>
      <w:rFonts w:ascii="Times New Roman" w:eastAsiaTheme="minorEastAsia" w:hAnsi="Times New Roman"/>
      <w:sz w:val="20"/>
      <w:szCs w:val="20"/>
      <w:lang w:val="en-US" w:bidi="en-US"/>
    </w:rPr>
  </w:style>
  <w:style w:type="paragraph" w:styleId="CommentSubject">
    <w:name w:val="annotation subject"/>
    <w:basedOn w:val="CommentText"/>
    <w:next w:val="CommentText"/>
    <w:link w:val="CommentSubjectChar"/>
    <w:uiPriority w:val="99"/>
    <w:unhideWhenUsed/>
    <w:rsid w:val="008F6EC3"/>
    <w:rPr>
      <w:b/>
      <w:bCs/>
    </w:rPr>
  </w:style>
  <w:style w:type="character" w:customStyle="1" w:styleId="CommentSubjectChar">
    <w:name w:val="Comment Subject Char"/>
    <w:basedOn w:val="CommentTextChar"/>
    <w:link w:val="CommentSubject"/>
    <w:uiPriority w:val="99"/>
    <w:rsid w:val="008F6EC3"/>
    <w:rPr>
      <w:rFonts w:ascii="Times New Roman" w:eastAsiaTheme="minorEastAsia" w:hAnsi="Times New Roman"/>
      <w:b/>
      <w:bCs/>
      <w:sz w:val="20"/>
      <w:szCs w:val="20"/>
      <w:lang w:val="en-US" w:bidi="en-US"/>
    </w:rPr>
  </w:style>
  <w:style w:type="paragraph" w:styleId="BalloonText">
    <w:name w:val="Balloon Text"/>
    <w:basedOn w:val="Normal"/>
    <w:link w:val="BalloonTextChar"/>
    <w:uiPriority w:val="99"/>
    <w:semiHidden/>
    <w:unhideWhenUsed/>
    <w:rsid w:val="008F6EC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6EC3"/>
    <w:rPr>
      <w:rFonts w:ascii="Tahoma" w:eastAsiaTheme="minorEastAsia" w:hAnsi="Tahoma" w:cs="Tahoma"/>
      <w:sz w:val="16"/>
      <w:szCs w:val="16"/>
      <w:lang w:val="en-US" w:bidi="en-US"/>
    </w:rPr>
  </w:style>
  <w:style w:type="character" w:customStyle="1" w:styleId="Heading4Char">
    <w:name w:val="Heading 4 Char"/>
    <w:basedOn w:val="DefaultParagraphFont"/>
    <w:link w:val="Heading4"/>
    <w:uiPriority w:val="9"/>
    <w:rsid w:val="00516B20"/>
    <w:rPr>
      <w:rFonts w:ascii="Times New Roman" w:eastAsiaTheme="majorEastAsia" w:hAnsi="Times New Roman" w:cstheme="majorBidi"/>
      <w:b/>
      <w:bCs/>
      <w:iCs/>
      <w:sz w:val="24"/>
      <w:lang w:val="en-US" w:bidi="en-US"/>
    </w:rPr>
  </w:style>
  <w:style w:type="table" w:styleId="TableGrid">
    <w:name w:val="Table Grid"/>
    <w:basedOn w:val="TableNormal"/>
    <w:uiPriority w:val="39"/>
    <w:rsid w:val="00830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3943E4"/>
    <w:pPr>
      <w:tabs>
        <w:tab w:val="left" w:pos="851"/>
        <w:tab w:val="right" w:leader="dot" w:pos="8302"/>
      </w:tabs>
    </w:pPr>
    <w:rPr>
      <w:b/>
      <w:sz w:val="28"/>
    </w:rPr>
  </w:style>
  <w:style w:type="paragraph" w:styleId="TOC2">
    <w:name w:val="toc 2"/>
    <w:basedOn w:val="Normal"/>
    <w:next w:val="Normal"/>
    <w:autoRedefine/>
    <w:uiPriority w:val="39"/>
    <w:unhideWhenUsed/>
    <w:rsid w:val="002125D9"/>
    <w:pPr>
      <w:tabs>
        <w:tab w:val="left" w:pos="880"/>
        <w:tab w:val="right" w:pos="8302"/>
      </w:tabs>
      <w:spacing w:after="100"/>
      <w:ind w:left="240"/>
    </w:pPr>
    <w:rPr>
      <w:b/>
      <w:noProof/>
    </w:rPr>
  </w:style>
  <w:style w:type="paragraph" w:styleId="TOC3">
    <w:name w:val="toc 3"/>
    <w:basedOn w:val="Normal"/>
    <w:next w:val="Normal"/>
    <w:autoRedefine/>
    <w:uiPriority w:val="39"/>
    <w:unhideWhenUsed/>
    <w:rsid w:val="00C351FE"/>
    <w:pPr>
      <w:spacing w:after="100"/>
      <w:ind w:left="480"/>
    </w:pPr>
  </w:style>
  <w:style w:type="paragraph" w:styleId="TOC4">
    <w:name w:val="toc 4"/>
    <w:basedOn w:val="Normal"/>
    <w:next w:val="Normal"/>
    <w:autoRedefine/>
    <w:uiPriority w:val="39"/>
    <w:unhideWhenUsed/>
    <w:rsid w:val="00C351FE"/>
    <w:pPr>
      <w:spacing w:after="100"/>
      <w:ind w:left="720"/>
    </w:pPr>
  </w:style>
  <w:style w:type="paragraph" w:customStyle="1" w:styleId="Head1nonumberingtobelisted">
    <w:name w:val="Head1 no numbering to be listed"/>
    <w:basedOn w:val="Normal"/>
    <w:next w:val="Heading1"/>
    <w:qFormat/>
    <w:rsid w:val="003943E4"/>
    <w:pPr>
      <w:outlineLvl w:val="0"/>
    </w:pPr>
    <w:rPr>
      <w:b/>
      <w:sz w:val="28"/>
      <w:lang w:val="en-GB" w:eastAsia="en-GB" w:bidi="ar-SA"/>
    </w:rPr>
  </w:style>
  <w:style w:type="character" w:customStyle="1" w:styleId="Heading5Char">
    <w:name w:val="Heading 5 Char"/>
    <w:basedOn w:val="DefaultParagraphFont"/>
    <w:link w:val="Heading5"/>
    <w:uiPriority w:val="9"/>
    <w:rsid w:val="000B099C"/>
    <w:rPr>
      <w:rFonts w:ascii="Times New Roman" w:eastAsiaTheme="majorEastAsia" w:hAnsi="Times New Roman" w:cstheme="majorBidi"/>
      <w:sz w:val="24"/>
      <w:lang w:val="en-US" w:bidi="en-US"/>
    </w:rPr>
  </w:style>
  <w:style w:type="character" w:customStyle="1" w:styleId="Heading6Char">
    <w:name w:val="Heading 6 Char"/>
    <w:basedOn w:val="DefaultParagraphFont"/>
    <w:link w:val="Heading6"/>
    <w:uiPriority w:val="9"/>
    <w:rsid w:val="00A62897"/>
    <w:rPr>
      <w:rFonts w:asciiTheme="majorHAnsi" w:eastAsiaTheme="majorEastAsia" w:hAnsiTheme="majorHAnsi" w:cstheme="majorBidi"/>
      <w:i/>
      <w:iCs/>
      <w:color w:val="243F60" w:themeColor="accent1" w:themeShade="7F"/>
      <w:sz w:val="24"/>
      <w:lang w:val="en-US" w:bidi="en-US"/>
    </w:rPr>
  </w:style>
  <w:style w:type="character" w:customStyle="1" w:styleId="Heading7Char">
    <w:name w:val="Heading 7 Char"/>
    <w:basedOn w:val="DefaultParagraphFont"/>
    <w:link w:val="Heading7"/>
    <w:uiPriority w:val="9"/>
    <w:rsid w:val="00A62897"/>
    <w:rPr>
      <w:rFonts w:asciiTheme="majorHAnsi" w:eastAsiaTheme="majorEastAsia" w:hAnsiTheme="majorHAnsi" w:cstheme="majorBidi"/>
      <w:i/>
      <w:iCs/>
      <w:color w:val="404040" w:themeColor="text1" w:themeTint="BF"/>
      <w:sz w:val="24"/>
      <w:lang w:val="en-US" w:bidi="en-US"/>
    </w:rPr>
  </w:style>
  <w:style w:type="character" w:customStyle="1" w:styleId="Heading8Char">
    <w:name w:val="Heading 8 Char"/>
    <w:basedOn w:val="DefaultParagraphFont"/>
    <w:link w:val="Heading8"/>
    <w:uiPriority w:val="9"/>
    <w:rsid w:val="00A62897"/>
    <w:rPr>
      <w:rFonts w:asciiTheme="majorHAnsi" w:eastAsiaTheme="majorEastAsia" w:hAnsiTheme="majorHAnsi" w:cstheme="majorBidi"/>
      <w:color w:val="404040" w:themeColor="text1" w:themeTint="BF"/>
      <w:sz w:val="20"/>
      <w:szCs w:val="20"/>
      <w:lang w:val="en-US" w:bidi="en-US"/>
    </w:rPr>
  </w:style>
  <w:style w:type="character" w:customStyle="1" w:styleId="Heading9Char">
    <w:name w:val="Heading 9 Char"/>
    <w:basedOn w:val="DefaultParagraphFont"/>
    <w:link w:val="Heading9"/>
    <w:uiPriority w:val="9"/>
    <w:rsid w:val="00A62897"/>
    <w:rPr>
      <w:rFonts w:asciiTheme="majorHAnsi" w:eastAsiaTheme="majorEastAsia" w:hAnsiTheme="majorHAnsi" w:cstheme="majorBidi"/>
      <w:i/>
      <w:iCs/>
      <w:color w:val="404040" w:themeColor="text1" w:themeTint="BF"/>
      <w:sz w:val="20"/>
      <w:szCs w:val="20"/>
      <w:lang w:val="en-US" w:bidi="en-US"/>
    </w:rPr>
  </w:style>
  <w:style w:type="paragraph" w:styleId="Header">
    <w:name w:val="header"/>
    <w:basedOn w:val="Normal"/>
    <w:link w:val="HeaderChar"/>
    <w:uiPriority w:val="99"/>
    <w:unhideWhenUsed/>
    <w:rsid w:val="00A62897"/>
    <w:pPr>
      <w:tabs>
        <w:tab w:val="center" w:pos="4513"/>
        <w:tab w:val="right" w:pos="9026"/>
      </w:tabs>
      <w:spacing w:line="240" w:lineRule="auto"/>
    </w:pPr>
  </w:style>
  <w:style w:type="character" w:customStyle="1" w:styleId="HeaderChar">
    <w:name w:val="Header Char"/>
    <w:basedOn w:val="DefaultParagraphFont"/>
    <w:link w:val="Header"/>
    <w:uiPriority w:val="99"/>
    <w:rsid w:val="00A62897"/>
    <w:rPr>
      <w:rFonts w:ascii="Times New Roman" w:eastAsiaTheme="minorEastAsia" w:hAnsi="Times New Roman"/>
      <w:sz w:val="24"/>
      <w:lang w:val="en-US" w:bidi="en-US"/>
    </w:rPr>
  </w:style>
  <w:style w:type="paragraph" w:styleId="Footer">
    <w:name w:val="footer"/>
    <w:basedOn w:val="Normal"/>
    <w:link w:val="FooterChar"/>
    <w:uiPriority w:val="99"/>
    <w:unhideWhenUsed/>
    <w:rsid w:val="00A62897"/>
    <w:pPr>
      <w:tabs>
        <w:tab w:val="center" w:pos="4513"/>
        <w:tab w:val="right" w:pos="9026"/>
      </w:tabs>
      <w:spacing w:line="240" w:lineRule="auto"/>
    </w:pPr>
  </w:style>
  <w:style w:type="character" w:customStyle="1" w:styleId="FooterChar">
    <w:name w:val="Footer Char"/>
    <w:basedOn w:val="DefaultParagraphFont"/>
    <w:link w:val="Footer"/>
    <w:uiPriority w:val="99"/>
    <w:rsid w:val="00A62897"/>
    <w:rPr>
      <w:rFonts w:ascii="Times New Roman" w:eastAsiaTheme="minorEastAsia" w:hAnsi="Times New Roman"/>
      <w:sz w:val="24"/>
      <w:lang w:val="en-US" w:bidi="en-US"/>
    </w:rPr>
  </w:style>
  <w:style w:type="paragraph" w:customStyle="1" w:styleId="Head1notforlist">
    <w:name w:val="Head1 not for list"/>
    <w:basedOn w:val="Normal"/>
    <w:qFormat/>
    <w:rsid w:val="002125D9"/>
    <w:rPr>
      <w:b/>
      <w:sz w:val="28"/>
      <w:lang w:val="en-GB" w:eastAsia="en-GB" w:bidi="ar-SA"/>
    </w:rPr>
  </w:style>
  <w:style w:type="character" w:styleId="IntenseEmphasis">
    <w:name w:val="Intense Emphasis"/>
    <w:basedOn w:val="DefaultParagraphFont"/>
    <w:uiPriority w:val="21"/>
    <w:qFormat/>
    <w:rsid w:val="00EF311A"/>
    <w:rPr>
      <w:b/>
      <w:bCs/>
      <w:i/>
      <w:iCs/>
      <w:color w:val="4F81BD" w:themeColor="accent1"/>
    </w:rPr>
  </w:style>
  <w:style w:type="paragraph" w:styleId="NormalIndent">
    <w:name w:val="Normal Indent"/>
    <w:basedOn w:val="Normal"/>
    <w:uiPriority w:val="99"/>
    <w:rsid w:val="0033740A"/>
    <w:pPr>
      <w:ind w:left="720"/>
    </w:pPr>
    <w:rPr>
      <w:rFonts w:eastAsia="Times New Roman" w:cs="Times New Roman"/>
      <w:szCs w:val="20"/>
      <w:lang w:val="en-GB" w:eastAsia="en-GB" w:bidi="ar-SA"/>
    </w:rPr>
  </w:style>
  <w:style w:type="paragraph" w:customStyle="1" w:styleId="Report1">
    <w:name w:val="Report1"/>
    <w:basedOn w:val="Normal"/>
    <w:next w:val="Normal"/>
    <w:rsid w:val="0033740A"/>
    <w:pPr>
      <w:jc w:val="both"/>
    </w:pPr>
    <w:rPr>
      <w:rFonts w:eastAsia="Times New Roman" w:cs="Times New Roman"/>
      <w:sz w:val="22"/>
      <w:szCs w:val="20"/>
      <w:lang w:val="en-GB" w:eastAsia="en-GB" w:bidi="ar-SA"/>
    </w:rPr>
  </w:style>
  <w:style w:type="paragraph" w:styleId="BodyText2">
    <w:name w:val="Body Text 2"/>
    <w:basedOn w:val="Normal"/>
    <w:link w:val="BodyText2Char"/>
    <w:rsid w:val="0033740A"/>
    <w:pPr>
      <w:ind w:right="-1800"/>
    </w:pPr>
    <w:rPr>
      <w:rFonts w:ascii="Book Antiqua" w:eastAsia="Times New Roman" w:hAnsi="Book Antiqua" w:cs="Times New Roman"/>
      <w:sz w:val="28"/>
      <w:szCs w:val="20"/>
      <w:lang w:val="en-GB" w:eastAsia="en-GB" w:bidi="ar-SA"/>
    </w:rPr>
  </w:style>
  <w:style w:type="character" w:customStyle="1" w:styleId="BodyText2Char">
    <w:name w:val="Body Text 2 Char"/>
    <w:basedOn w:val="DefaultParagraphFont"/>
    <w:link w:val="BodyText2"/>
    <w:rsid w:val="0033740A"/>
    <w:rPr>
      <w:rFonts w:ascii="Book Antiqua" w:eastAsia="Times New Roman" w:hAnsi="Book Antiqua" w:cs="Times New Roman"/>
      <w:sz w:val="28"/>
      <w:szCs w:val="20"/>
      <w:lang w:eastAsia="en-GB"/>
    </w:rPr>
  </w:style>
  <w:style w:type="paragraph" w:styleId="BodyText">
    <w:name w:val="Body Text"/>
    <w:basedOn w:val="Normal"/>
    <w:link w:val="BodyTextChar"/>
    <w:rsid w:val="0033740A"/>
    <w:pPr>
      <w:ind w:right="-18"/>
      <w:jc w:val="both"/>
    </w:pPr>
    <w:rPr>
      <w:rFonts w:ascii="Arial" w:eastAsia="Times New Roman" w:hAnsi="Arial" w:cs="Times New Roman"/>
      <w:sz w:val="22"/>
      <w:szCs w:val="20"/>
      <w:lang w:val="en-GB" w:eastAsia="en-GB" w:bidi="ar-SA"/>
    </w:rPr>
  </w:style>
  <w:style w:type="character" w:customStyle="1" w:styleId="BodyTextChar">
    <w:name w:val="Body Text Char"/>
    <w:basedOn w:val="DefaultParagraphFont"/>
    <w:link w:val="BodyText"/>
    <w:rsid w:val="0033740A"/>
    <w:rPr>
      <w:rFonts w:ascii="Arial" w:eastAsia="Times New Roman" w:hAnsi="Arial" w:cs="Times New Roman"/>
      <w:szCs w:val="20"/>
      <w:lang w:eastAsia="en-GB"/>
    </w:rPr>
  </w:style>
  <w:style w:type="paragraph" w:styleId="BodyTextIndent">
    <w:name w:val="Body Text Indent"/>
    <w:basedOn w:val="Normal"/>
    <w:link w:val="BodyTextIndentChar"/>
    <w:rsid w:val="0033740A"/>
    <w:pPr>
      <w:ind w:left="284"/>
    </w:pPr>
    <w:rPr>
      <w:rFonts w:ascii="Arial" w:eastAsia="Times New Roman" w:hAnsi="Arial" w:cs="Arial"/>
      <w:sz w:val="22"/>
      <w:szCs w:val="20"/>
      <w:lang w:val="en-GB" w:eastAsia="en-GB" w:bidi="ar-SA"/>
    </w:rPr>
  </w:style>
  <w:style w:type="character" w:customStyle="1" w:styleId="BodyTextIndentChar">
    <w:name w:val="Body Text Indent Char"/>
    <w:basedOn w:val="DefaultParagraphFont"/>
    <w:link w:val="BodyTextIndent"/>
    <w:rsid w:val="0033740A"/>
    <w:rPr>
      <w:rFonts w:ascii="Arial" w:eastAsia="Times New Roman" w:hAnsi="Arial" w:cs="Arial"/>
      <w:szCs w:val="20"/>
      <w:lang w:eastAsia="en-GB"/>
    </w:rPr>
  </w:style>
  <w:style w:type="paragraph" w:styleId="NormalWeb">
    <w:name w:val="Normal (Web)"/>
    <w:basedOn w:val="Normal"/>
    <w:uiPriority w:val="99"/>
    <w:unhideWhenUsed/>
    <w:rsid w:val="0033740A"/>
    <w:pPr>
      <w:spacing w:before="100" w:beforeAutospacing="1" w:after="100" w:afterAutospacing="1"/>
    </w:pPr>
    <w:rPr>
      <w:rFonts w:eastAsia="Times New Roman" w:cs="Times New Roman"/>
      <w:szCs w:val="24"/>
      <w:lang w:val="en-GB" w:eastAsia="en-GB" w:bidi="ar-SA"/>
    </w:rPr>
  </w:style>
  <w:style w:type="character" w:styleId="Hyperlink">
    <w:name w:val="Hyperlink"/>
    <w:basedOn w:val="DefaultParagraphFont"/>
    <w:uiPriority w:val="99"/>
    <w:unhideWhenUsed/>
    <w:rsid w:val="0033740A"/>
    <w:rPr>
      <w:color w:val="0000FF"/>
      <w:u w:val="single"/>
    </w:rPr>
  </w:style>
  <w:style w:type="character" w:customStyle="1" w:styleId="jrnl">
    <w:name w:val="jrnl"/>
    <w:basedOn w:val="DefaultParagraphFont"/>
    <w:rsid w:val="0033740A"/>
  </w:style>
  <w:style w:type="character" w:styleId="PageNumber">
    <w:name w:val="page number"/>
    <w:basedOn w:val="DefaultParagraphFont"/>
    <w:uiPriority w:val="99"/>
    <w:rsid w:val="0033740A"/>
  </w:style>
  <w:style w:type="paragraph" w:styleId="FootnoteText">
    <w:name w:val="footnote text"/>
    <w:basedOn w:val="Normal"/>
    <w:link w:val="FootnoteTextChar"/>
    <w:uiPriority w:val="99"/>
    <w:rsid w:val="0033740A"/>
    <w:rPr>
      <w:rFonts w:eastAsia="Times New Roman" w:cs="Times New Roman"/>
      <w:szCs w:val="20"/>
      <w:lang w:val="en-GB" w:eastAsia="en-GB" w:bidi="ar-SA"/>
    </w:rPr>
  </w:style>
  <w:style w:type="character" w:customStyle="1" w:styleId="FootnoteTextChar">
    <w:name w:val="Footnote Text Char"/>
    <w:basedOn w:val="DefaultParagraphFont"/>
    <w:link w:val="FootnoteText"/>
    <w:uiPriority w:val="99"/>
    <w:rsid w:val="0033740A"/>
    <w:rPr>
      <w:rFonts w:ascii="Times New Roman" w:eastAsia="Times New Roman" w:hAnsi="Times New Roman" w:cs="Times New Roman"/>
      <w:sz w:val="24"/>
      <w:szCs w:val="20"/>
      <w:lang w:eastAsia="en-GB"/>
    </w:rPr>
  </w:style>
  <w:style w:type="paragraph" w:customStyle="1" w:styleId="Footer1">
    <w:name w:val="Footer 1"/>
    <w:basedOn w:val="Footer"/>
    <w:next w:val="Footer"/>
    <w:uiPriority w:val="99"/>
    <w:rsid w:val="0033740A"/>
    <w:pPr>
      <w:tabs>
        <w:tab w:val="clear" w:pos="4513"/>
        <w:tab w:val="clear" w:pos="9026"/>
      </w:tabs>
      <w:spacing w:line="360" w:lineRule="auto"/>
    </w:pPr>
    <w:rPr>
      <w:rFonts w:eastAsia="Times New Roman" w:cs="Times New Roman"/>
      <w:szCs w:val="20"/>
      <w:lang w:val="en-GB" w:eastAsia="en-GB" w:bidi="ar-SA"/>
    </w:rPr>
  </w:style>
  <w:style w:type="paragraph" w:customStyle="1" w:styleId="Header1">
    <w:name w:val="Header 1"/>
    <w:basedOn w:val="Heading1"/>
    <w:next w:val="Heading1"/>
    <w:uiPriority w:val="99"/>
    <w:rsid w:val="0033740A"/>
    <w:pPr>
      <w:keepNext w:val="0"/>
      <w:jc w:val="center"/>
      <w:outlineLvl w:val="9"/>
    </w:pPr>
    <w:rPr>
      <w:rFonts w:ascii="Arial" w:eastAsia="Times New Roman" w:hAnsi="Arial" w:cs="Times New Roman"/>
      <w:bCs w:val="0"/>
      <w:i/>
      <w:kern w:val="0"/>
      <w:sz w:val="24"/>
      <w:szCs w:val="20"/>
    </w:rPr>
  </w:style>
  <w:style w:type="paragraph" w:customStyle="1" w:styleId="Header2">
    <w:name w:val="Header 2"/>
    <w:basedOn w:val="Header1"/>
    <w:uiPriority w:val="99"/>
    <w:rsid w:val="0033740A"/>
    <w:rPr>
      <w:rFonts w:ascii="Univers" w:hAnsi="Univers"/>
      <w:b w:val="0"/>
      <w:i w:val="0"/>
      <w:sz w:val="20"/>
    </w:rPr>
  </w:style>
  <w:style w:type="paragraph" w:customStyle="1" w:styleId="TNRNorm">
    <w:name w:val="TNRNorm"/>
    <w:basedOn w:val="Normal"/>
    <w:uiPriority w:val="99"/>
    <w:rsid w:val="0033740A"/>
    <w:rPr>
      <w:rFonts w:eastAsia="Times New Roman" w:cs="Times New Roman"/>
      <w:szCs w:val="20"/>
      <w:lang w:val="en-GB" w:eastAsia="en-GB" w:bidi="ar-SA"/>
    </w:rPr>
  </w:style>
  <w:style w:type="paragraph" w:customStyle="1" w:styleId="Bullets">
    <w:name w:val="Bullets"/>
    <w:basedOn w:val="TNRNorm"/>
    <w:uiPriority w:val="99"/>
    <w:rsid w:val="0033740A"/>
    <w:pPr>
      <w:spacing w:line="280" w:lineRule="atLeast"/>
      <w:ind w:left="864" w:hanging="432"/>
    </w:pPr>
  </w:style>
  <w:style w:type="paragraph" w:styleId="BodyTextIndent2">
    <w:name w:val="Body Text Indent 2"/>
    <w:basedOn w:val="Normal"/>
    <w:link w:val="BodyTextIndent2Char"/>
    <w:rsid w:val="0033740A"/>
    <w:pPr>
      <w:ind w:right="-17" w:hanging="425"/>
      <w:jc w:val="both"/>
    </w:pPr>
    <w:rPr>
      <w:rFonts w:ascii="Arial" w:eastAsia="Times New Roman" w:hAnsi="Arial" w:cs="Times New Roman"/>
      <w:sz w:val="22"/>
      <w:szCs w:val="20"/>
      <w:lang w:val="en-GB" w:eastAsia="en-GB" w:bidi="ar-SA"/>
    </w:rPr>
  </w:style>
  <w:style w:type="character" w:customStyle="1" w:styleId="BodyTextIndent2Char">
    <w:name w:val="Body Text Indent 2 Char"/>
    <w:basedOn w:val="DefaultParagraphFont"/>
    <w:link w:val="BodyTextIndent2"/>
    <w:rsid w:val="0033740A"/>
    <w:rPr>
      <w:rFonts w:ascii="Arial" w:eastAsia="Times New Roman" w:hAnsi="Arial" w:cs="Times New Roman"/>
      <w:szCs w:val="20"/>
      <w:lang w:eastAsia="en-GB"/>
    </w:rPr>
  </w:style>
  <w:style w:type="paragraph" w:styleId="BodyText3">
    <w:name w:val="Body Text 3"/>
    <w:basedOn w:val="Normal"/>
    <w:link w:val="BodyText3Char"/>
    <w:rsid w:val="0033740A"/>
    <w:pPr>
      <w:jc w:val="both"/>
    </w:pPr>
    <w:rPr>
      <w:rFonts w:ascii="Book Antiqua" w:eastAsia="Times New Roman" w:hAnsi="Book Antiqua" w:cs="Times New Roman"/>
      <w:sz w:val="22"/>
      <w:szCs w:val="20"/>
      <w:lang w:val="en-GB" w:bidi="ar-SA"/>
    </w:rPr>
  </w:style>
  <w:style w:type="character" w:customStyle="1" w:styleId="BodyText3Char">
    <w:name w:val="Body Text 3 Char"/>
    <w:basedOn w:val="DefaultParagraphFont"/>
    <w:link w:val="BodyText3"/>
    <w:rsid w:val="0033740A"/>
    <w:rPr>
      <w:rFonts w:ascii="Book Antiqua" w:eastAsia="Times New Roman" w:hAnsi="Book Antiqua" w:cs="Times New Roman"/>
      <w:szCs w:val="20"/>
    </w:rPr>
  </w:style>
  <w:style w:type="character" w:styleId="FollowedHyperlink">
    <w:name w:val="FollowedHyperlink"/>
    <w:basedOn w:val="DefaultParagraphFont"/>
    <w:uiPriority w:val="99"/>
    <w:rsid w:val="0033740A"/>
    <w:rPr>
      <w:rFonts w:cs="Times New Roman"/>
      <w:color w:val="800080"/>
      <w:u w:val="single"/>
    </w:rPr>
  </w:style>
  <w:style w:type="paragraph" w:styleId="Caption">
    <w:name w:val="caption"/>
    <w:aliases w:val="Bayer Caption,IB Caption,Medical Caption,Caption Char1 Char,Caption Char Char Char,Caption Char1 Char Char Char,Caption Char Char Char Char Char,Caption Char Char1 Char,Caption Char1 Char1,Caption Char Char Char1,Caption Char1,Caption Char Char"/>
    <w:basedOn w:val="Normal"/>
    <w:next w:val="Normal"/>
    <w:link w:val="CaptionChar"/>
    <w:rsid w:val="0033740A"/>
    <w:pPr>
      <w:tabs>
        <w:tab w:val="left" w:pos="10273"/>
      </w:tabs>
    </w:pPr>
    <w:rPr>
      <w:rFonts w:ascii="Arial" w:eastAsia="Times New Roman" w:hAnsi="Arial" w:cs="Times New Roman"/>
      <w:b/>
      <w:bCs/>
      <w:szCs w:val="20"/>
      <w:lang w:val="en-GB" w:eastAsia="en-GB" w:bidi="ar-SA"/>
    </w:rPr>
  </w:style>
  <w:style w:type="character" w:customStyle="1" w:styleId="CaptionChar">
    <w:name w:val="Caption Char"/>
    <w:aliases w:val="Bayer Caption Char,IB Caption Char,Medical Caption Char,Caption Char1 Char Char,Caption Char Char Char Char,Caption Char1 Char Char Char Char,Caption Char Char Char Char Char Char,Caption Char Char1 Char Char,Caption Char1 Char1 Char"/>
    <w:basedOn w:val="DefaultParagraphFont"/>
    <w:link w:val="Caption"/>
    <w:locked/>
    <w:rsid w:val="0033740A"/>
    <w:rPr>
      <w:rFonts w:ascii="Arial" w:eastAsia="Times New Roman" w:hAnsi="Arial" w:cs="Times New Roman"/>
      <w:b/>
      <w:bCs/>
      <w:sz w:val="24"/>
      <w:szCs w:val="20"/>
      <w:lang w:eastAsia="en-GB"/>
    </w:rPr>
  </w:style>
  <w:style w:type="paragraph" w:styleId="BodyTextIndent3">
    <w:name w:val="Body Text Indent 3"/>
    <w:basedOn w:val="Normal"/>
    <w:link w:val="BodyTextIndent3Char"/>
    <w:rsid w:val="0033740A"/>
    <w:pPr>
      <w:ind w:left="1560"/>
    </w:pPr>
    <w:rPr>
      <w:rFonts w:ascii="Arial" w:eastAsia="Times New Roman" w:hAnsi="Arial" w:cs="Arial"/>
      <w:b/>
      <w:bCs/>
      <w:sz w:val="36"/>
      <w:lang w:val="en-GB" w:eastAsia="en-GB" w:bidi="ar-SA"/>
    </w:rPr>
  </w:style>
  <w:style w:type="character" w:customStyle="1" w:styleId="BodyTextIndent3Char">
    <w:name w:val="Body Text Indent 3 Char"/>
    <w:basedOn w:val="DefaultParagraphFont"/>
    <w:link w:val="BodyTextIndent3"/>
    <w:rsid w:val="0033740A"/>
    <w:rPr>
      <w:rFonts w:ascii="Arial" w:eastAsia="Times New Roman" w:hAnsi="Arial" w:cs="Arial"/>
      <w:b/>
      <w:bCs/>
      <w:sz w:val="36"/>
      <w:lang w:eastAsia="en-GB"/>
    </w:rPr>
  </w:style>
  <w:style w:type="character" w:customStyle="1" w:styleId="EmailStyle63">
    <w:name w:val="EmailStyle63"/>
    <w:basedOn w:val="DefaultParagraphFont"/>
    <w:uiPriority w:val="99"/>
    <w:rsid w:val="0033740A"/>
    <w:rPr>
      <w:rFonts w:ascii="Arial" w:hAnsi="Arial" w:cs="Arial"/>
      <w:color w:val="000080"/>
      <w:sz w:val="20"/>
    </w:rPr>
  </w:style>
  <w:style w:type="paragraph" w:styleId="DocumentMap">
    <w:name w:val="Document Map"/>
    <w:basedOn w:val="Normal"/>
    <w:link w:val="DocumentMapChar"/>
    <w:semiHidden/>
    <w:rsid w:val="0033740A"/>
    <w:pPr>
      <w:shd w:val="clear" w:color="auto" w:fill="000080"/>
    </w:pPr>
    <w:rPr>
      <w:rFonts w:ascii="Tahoma" w:eastAsia="Times New Roman" w:hAnsi="Tahoma" w:cs="Tahoma"/>
      <w:szCs w:val="20"/>
      <w:lang w:val="en-GB" w:eastAsia="en-GB" w:bidi="ar-SA"/>
    </w:rPr>
  </w:style>
  <w:style w:type="character" w:customStyle="1" w:styleId="DocumentMapChar">
    <w:name w:val="Document Map Char"/>
    <w:basedOn w:val="DefaultParagraphFont"/>
    <w:link w:val="DocumentMap"/>
    <w:semiHidden/>
    <w:rsid w:val="0033740A"/>
    <w:rPr>
      <w:rFonts w:ascii="Tahoma" w:eastAsia="Times New Roman" w:hAnsi="Tahoma" w:cs="Tahoma"/>
      <w:sz w:val="24"/>
      <w:szCs w:val="20"/>
      <w:shd w:val="clear" w:color="auto" w:fill="000080"/>
      <w:lang w:eastAsia="en-GB"/>
    </w:rPr>
  </w:style>
  <w:style w:type="paragraph" w:customStyle="1" w:styleId="xl26">
    <w:name w:val="xl26"/>
    <w:basedOn w:val="Normal"/>
    <w:uiPriority w:val="99"/>
    <w:rsid w:val="0033740A"/>
    <w:pPr>
      <w:spacing w:before="100" w:beforeAutospacing="1" w:after="100" w:afterAutospacing="1"/>
    </w:pPr>
    <w:rPr>
      <w:rFonts w:ascii="Arial" w:eastAsia="Times New Roman" w:hAnsi="Arial" w:cs="Arial"/>
      <w:b/>
      <w:bCs/>
      <w:szCs w:val="24"/>
      <w:lang w:val="en-GB" w:bidi="ar-SA"/>
    </w:rPr>
  </w:style>
  <w:style w:type="paragraph" w:customStyle="1" w:styleId="StyleLeft0cmHanging127cm1">
    <w:name w:val="Style Left:  0 cm Hanging:  1.27 cm1"/>
    <w:basedOn w:val="Normal"/>
    <w:uiPriority w:val="99"/>
    <w:rsid w:val="0033740A"/>
    <w:pPr>
      <w:widowControl w:val="0"/>
      <w:autoSpaceDE w:val="0"/>
      <w:autoSpaceDN w:val="0"/>
      <w:adjustRightInd w:val="0"/>
      <w:ind w:left="720" w:hanging="720"/>
      <w:jc w:val="both"/>
    </w:pPr>
    <w:rPr>
      <w:rFonts w:eastAsia="Times New Roman" w:cs="Times New Roman"/>
      <w:szCs w:val="20"/>
      <w:lang w:eastAsia="en-GB" w:bidi="ar-SA"/>
    </w:rPr>
  </w:style>
  <w:style w:type="character" w:customStyle="1" w:styleId="emph-21">
    <w:name w:val="emph-21"/>
    <w:basedOn w:val="DefaultParagraphFont"/>
    <w:uiPriority w:val="99"/>
    <w:rsid w:val="0033740A"/>
    <w:rPr>
      <w:rFonts w:cs="Times New Roman"/>
      <w:i/>
      <w:iCs/>
    </w:rPr>
  </w:style>
  <w:style w:type="paragraph" w:customStyle="1" w:styleId="font5">
    <w:name w:val="font5"/>
    <w:basedOn w:val="Normal"/>
    <w:uiPriority w:val="99"/>
    <w:rsid w:val="0033740A"/>
    <w:pPr>
      <w:spacing w:before="100" w:beforeAutospacing="1" w:after="100" w:afterAutospacing="1"/>
    </w:pPr>
    <w:rPr>
      <w:rFonts w:ascii="Book Antiqua" w:eastAsia="Times New Roman" w:hAnsi="Book Antiqua" w:cs="Times New Roman"/>
      <w:b/>
      <w:bCs/>
      <w:szCs w:val="20"/>
      <w:lang w:val="en-GB" w:bidi="ar-SA"/>
    </w:rPr>
  </w:style>
  <w:style w:type="paragraph" w:customStyle="1" w:styleId="font6">
    <w:name w:val="font6"/>
    <w:basedOn w:val="Normal"/>
    <w:uiPriority w:val="99"/>
    <w:rsid w:val="0033740A"/>
    <w:pPr>
      <w:spacing w:before="100" w:beforeAutospacing="1" w:after="100" w:afterAutospacing="1"/>
    </w:pPr>
    <w:rPr>
      <w:rFonts w:ascii="Book Antiqua" w:eastAsia="Times New Roman" w:hAnsi="Book Antiqua" w:cs="Times New Roman"/>
      <w:szCs w:val="20"/>
      <w:lang w:val="en-GB" w:bidi="ar-SA"/>
    </w:rPr>
  </w:style>
  <w:style w:type="paragraph" w:customStyle="1" w:styleId="font7">
    <w:name w:val="font7"/>
    <w:basedOn w:val="Normal"/>
    <w:uiPriority w:val="99"/>
    <w:rsid w:val="0033740A"/>
    <w:pPr>
      <w:spacing w:before="100" w:beforeAutospacing="1" w:after="100" w:afterAutospacing="1"/>
    </w:pPr>
    <w:rPr>
      <w:rFonts w:ascii="Book Antiqua" w:eastAsia="Times New Roman" w:hAnsi="Book Antiqua" w:cs="Times New Roman"/>
      <w:b/>
      <w:bCs/>
      <w:szCs w:val="20"/>
      <w:lang w:val="en-GB" w:bidi="ar-SA"/>
    </w:rPr>
  </w:style>
  <w:style w:type="paragraph" w:customStyle="1" w:styleId="xl25">
    <w:name w:val="xl25"/>
    <w:basedOn w:val="Normal"/>
    <w:uiPriority w:val="99"/>
    <w:rsid w:val="0033740A"/>
    <w:pPr>
      <w:spacing w:before="100" w:beforeAutospacing="1" w:after="100" w:afterAutospacing="1"/>
    </w:pPr>
    <w:rPr>
      <w:rFonts w:ascii="Arial" w:eastAsia="Times New Roman" w:hAnsi="Arial" w:cs="Arial"/>
      <w:sz w:val="36"/>
      <w:szCs w:val="36"/>
      <w:lang w:val="en-GB" w:bidi="ar-SA"/>
    </w:rPr>
  </w:style>
  <w:style w:type="paragraph" w:customStyle="1" w:styleId="xl27">
    <w:name w:val="xl27"/>
    <w:basedOn w:val="Normal"/>
    <w:uiPriority w:val="99"/>
    <w:rsid w:val="0033740A"/>
    <w:pP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28">
    <w:name w:val="xl28"/>
    <w:basedOn w:val="Normal"/>
    <w:uiPriority w:val="99"/>
    <w:rsid w:val="0033740A"/>
    <w:pPr>
      <w:spacing w:before="100" w:beforeAutospacing="1" w:after="100" w:afterAutospacing="1"/>
    </w:pPr>
    <w:rPr>
      <w:rFonts w:ascii="Book Antiqua" w:eastAsia="Times New Roman" w:hAnsi="Book Antiqua" w:cs="Times New Roman"/>
      <w:szCs w:val="24"/>
      <w:lang w:val="en-GB" w:bidi="ar-SA"/>
    </w:rPr>
  </w:style>
  <w:style w:type="paragraph" w:customStyle="1" w:styleId="xl29">
    <w:name w:val="xl29"/>
    <w:basedOn w:val="Normal"/>
    <w:uiPriority w:val="99"/>
    <w:rsid w:val="0033740A"/>
    <w:pPr>
      <w:spacing w:before="100" w:beforeAutospacing="1" w:after="100" w:afterAutospacing="1"/>
    </w:pPr>
    <w:rPr>
      <w:rFonts w:ascii="Book Antiqua" w:eastAsia="Times New Roman" w:hAnsi="Book Antiqua" w:cs="Times New Roman"/>
      <w:b/>
      <w:bCs/>
      <w:szCs w:val="24"/>
      <w:lang w:val="en-GB" w:bidi="ar-SA"/>
    </w:rPr>
  </w:style>
  <w:style w:type="paragraph" w:customStyle="1" w:styleId="xl30">
    <w:name w:val="xl30"/>
    <w:basedOn w:val="Normal"/>
    <w:uiPriority w:val="99"/>
    <w:rsid w:val="0033740A"/>
    <w:pPr>
      <w:pBdr>
        <w:left w:val="single" w:sz="4" w:space="0" w:color="auto"/>
        <w:right w:val="single" w:sz="4" w:space="0" w:color="auto"/>
      </w:pBdr>
      <w:spacing w:before="100" w:beforeAutospacing="1" w:after="100" w:afterAutospacing="1"/>
    </w:pPr>
    <w:rPr>
      <w:rFonts w:ascii="Book Antiqua" w:eastAsia="Times New Roman" w:hAnsi="Book Antiqua" w:cs="Times New Roman"/>
      <w:szCs w:val="24"/>
      <w:lang w:val="en-GB" w:bidi="ar-SA"/>
    </w:rPr>
  </w:style>
  <w:style w:type="paragraph" w:customStyle="1" w:styleId="xl31">
    <w:name w:val="xl31"/>
    <w:basedOn w:val="Normal"/>
    <w:uiPriority w:val="99"/>
    <w:rsid w:val="0033740A"/>
    <w:pPr>
      <w:pBdr>
        <w:left w:val="single" w:sz="4" w:space="0" w:color="auto"/>
        <w:right w:val="single" w:sz="4" w:space="0" w:color="auto"/>
      </w:pBdr>
      <w:spacing w:before="100" w:beforeAutospacing="1" w:after="100" w:afterAutospacing="1"/>
    </w:pPr>
    <w:rPr>
      <w:rFonts w:ascii="Book Antiqua" w:eastAsia="Times New Roman" w:hAnsi="Book Antiqua" w:cs="Times New Roman"/>
      <w:b/>
      <w:bCs/>
      <w:szCs w:val="24"/>
      <w:lang w:val="en-GB" w:bidi="ar-SA"/>
    </w:rPr>
  </w:style>
  <w:style w:type="paragraph" w:customStyle="1" w:styleId="xl32">
    <w:name w:val="xl32"/>
    <w:basedOn w:val="Normal"/>
    <w:uiPriority w:val="99"/>
    <w:rsid w:val="0033740A"/>
    <w:pPr>
      <w:pBdr>
        <w:left w:val="single" w:sz="4" w:space="0" w:color="auto"/>
        <w:right w:val="single" w:sz="4" w:space="0" w:color="auto"/>
      </w:pBdr>
      <w:spacing w:before="100" w:beforeAutospacing="1" w:after="100" w:afterAutospacing="1"/>
      <w:textAlignment w:val="top"/>
    </w:pPr>
    <w:rPr>
      <w:rFonts w:ascii="Book Antiqua" w:eastAsia="Times New Roman" w:hAnsi="Book Antiqua" w:cs="Times New Roman"/>
      <w:szCs w:val="24"/>
      <w:lang w:val="en-GB" w:bidi="ar-SA"/>
    </w:rPr>
  </w:style>
  <w:style w:type="paragraph" w:customStyle="1" w:styleId="xl33">
    <w:name w:val="xl33"/>
    <w:basedOn w:val="Normal"/>
    <w:uiPriority w:val="99"/>
    <w:rsid w:val="0033740A"/>
    <w:pPr>
      <w:pBdr>
        <w:left w:val="single" w:sz="4" w:space="0" w:color="auto"/>
        <w:right w:val="single" w:sz="4" w:space="0" w:color="auto"/>
      </w:pBdr>
      <w:spacing w:before="100" w:beforeAutospacing="1" w:after="100" w:afterAutospacing="1"/>
      <w:textAlignment w:val="top"/>
    </w:pPr>
    <w:rPr>
      <w:rFonts w:ascii="Book Antiqua" w:eastAsia="Times New Roman" w:hAnsi="Book Antiqua" w:cs="Times New Roman"/>
      <w:b/>
      <w:bCs/>
      <w:szCs w:val="24"/>
      <w:lang w:val="en-GB" w:bidi="ar-SA"/>
    </w:rPr>
  </w:style>
  <w:style w:type="paragraph" w:customStyle="1" w:styleId="xl34">
    <w:name w:val="xl34"/>
    <w:basedOn w:val="Normal"/>
    <w:uiPriority w:val="99"/>
    <w:rsid w:val="0033740A"/>
    <w:pPr>
      <w:pBdr>
        <w:top w:val="single" w:sz="4" w:space="0" w:color="auto"/>
        <w:left w:val="single" w:sz="4" w:space="0" w:color="auto"/>
        <w:right w:val="single" w:sz="4" w:space="0" w:color="auto"/>
      </w:pBdr>
      <w:spacing w:before="100" w:beforeAutospacing="1" w:after="100" w:afterAutospacing="1"/>
    </w:pPr>
    <w:rPr>
      <w:rFonts w:ascii="Book Antiqua" w:eastAsia="Times New Roman" w:hAnsi="Book Antiqua" w:cs="Times New Roman"/>
      <w:b/>
      <w:bCs/>
      <w:szCs w:val="24"/>
      <w:lang w:val="en-GB" w:bidi="ar-SA"/>
    </w:rPr>
  </w:style>
  <w:style w:type="paragraph" w:customStyle="1" w:styleId="xl35">
    <w:name w:val="xl35"/>
    <w:basedOn w:val="Normal"/>
    <w:uiPriority w:val="99"/>
    <w:rsid w:val="0033740A"/>
    <w:pPr>
      <w:pBdr>
        <w:top w:val="single" w:sz="4" w:space="0" w:color="auto"/>
        <w:left w:val="single" w:sz="4" w:space="0" w:color="auto"/>
        <w:right w:val="single" w:sz="4" w:space="0" w:color="auto"/>
      </w:pBdr>
      <w:spacing w:before="100" w:beforeAutospacing="1" w:after="100" w:afterAutospacing="1"/>
    </w:pPr>
    <w:rPr>
      <w:rFonts w:ascii="Book Antiqua" w:eastAsia="Times New Roman" w:hAnsi="Book Antiqua" w:cs="Times New Roman"/>
      <w:szCs w:val="24"/>
      <w:lang w:val="en-GB" w:bidi="ar-SA"/>
    </w:rPr>
  </w:style>
  <w:style w:type="paragraph" w:customStyle="1" w:styleId="xl36">
    <w:name w:val="xl36"/>
    <w:basedOn w:val="Normal"/>
    <w:uiPriority w:val="99"/>
    <w:rsid w:val="0033740A"/>
    <w:pPr>
      <w:pBdr>
        <w:left w:val="single" w:sz="4" w:space="0" w:color="auto"/>
        <w:bottom w:val="single" w:sz="4" w:space="0" w:color="auto"/>
        <w:right w:val="single" w:sz="4" w:space="0" w:color="auto"/>
      </w:pBdr>
      <w:spacing w:before="100" w:beforeAutospacing="1" w:after="100" w:afterAutospacing="1"/>
    </w:pPr>
    <w:rPr>
      <w:rFonts w:ascii="Book Antiqua" w:eastAsia="Times New Roman" w:hAnsi="Book Antiqua" w:cs="Times New Roman"/>
      <w:szCs w:val="24"/>
      <w:lang w:val="en-GB" w:bidi="ar-SA"/>
    </w:rPr>
  </w:style>
  <w:style w:type="paragraph" w:customStyle="1" w:styleId="xl37">
    <w:name w:val="xl37"/>
    <w:basedOn w:val="Normal"/>
    <w:uiPriority w:val="99"/>
    <w:rsid w:val="0033740A"/>
    <w:pPr>
      <w:pBdr>
        <w:left w:val="single" w:sz="4" w:space="0" w:color="auto"/>
      </w:pBd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38">
    <w:name w:val="xl38"/>
    <w:basedOn w:val="Normal"/>
    <w:uiPriority w:val="99"/>
    <w:rsid w:val="0033740A"/>
    <w:pPr>
      <w:pBdr>
        <w:left w:val="single" w:sz="4" w:space="0" w:color="auto"/>
        <w:right w:val="single" w:sz="4" w:space="0" w:color="auto"/>
      </w:pBdr>
      <w:spacing w:before="100" w:beforeAutospacing="1" w:after="100" w:afterAutospacing="1"/>
    </w:pPr>
    <w:rPr>
      <w:rFonts w:ascii="Book Antiqua" w:eastAsia="Times New Roman" w:hAnsi="Book Antiqua" w:cs="Times New Roman"/>
      <w:szCs w:val="24"/>
      <w:lang w:val="en-GB" w:bidi="ar-SA"/>
    </w:rPr>
  </w:style>
  <w:style w:type="paragraph" w:customStyle="1" w:styleId="xl39">
    <w:name w:val="xl39"/>
    <w:basedOn w:val="Normal"/>
    <w:uiPriority w:val="99"/>
    <w:rsid w:val="0033740A"/>
    <w:pPr>
      <w:spacing w:before="100" w:beforeAutospacing="1" w:after="100" w:afterAutospacing="1"/>
      <w:jc w:val="center"/>
    </w:pPr>
    <w:rPr>
      <w:rFonts w:ascii="Book Antiqua" w:eastAsia="Times New Roman" w:hAnsi="Book Antiqua" w:cs="Times New Roman"/>
      <w:szCs w:val="24"/>
      <w:lang w:val="en-GB" w:bidi="ar-SA"/>
    </w:rPr>
  </w:style>
  <w:style w:type="paragraph" w:customStyle="1" w:styleId="xl40">
    <w:name w:val="xl40"/>
    <w:basedOn w:val="Normal"/>
    <w:uiPriority w:val="99"/>
    <w:rsid w:val="0033740A"/>
    <w:pPr>
      <w:pBdr>
        <w:left w:val="single" w:sz="4" w:space="0" w:color="auto"/>
        <w:bottom w:val="single" w:sz="4" w:space="0" w:color="auto"/>
        <w:right w:val="single" w:sz="4" w:space="0" w:color="auto"/>
      </w:pBdr>
      <w:spacing w:before="100" w:beforeAutospacing="1" w:after="100" w:afterAutospacing="1"/>
      <w:textAlignment w:val="top"/>
    </w:pPr>
    <w:rPr>
      <w:rFonts w:ascii="Book Antiqua" w:eastAsia="Times New Roman" w:hAnsi="Book Antiqua" w:cs="Times New Roman"/>
      <w:b/>
      <w:bCs/>
      <w:szCs w:val="24"/>
      <w:lang w:val="en-GB" w:bidi="ar-SA"/>
    </w:rPr>
  </w:style>
  <w:style w:type="paragraph" w:customStyle="1" w:styleId="xl41">
    <w:name w:val="xl41"/>
    <w:basedOn w:val="Normal"/>
    <w:uiPriority w:val="99"/>
    <w:rsid w:val="0033740A"/>
    <w:pPr>
      <w:pBdr>
        <w:left w:val="single" w:sz="4" w:space="0" w:color="auto"/>
      </w:pBd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42">
    <w:name w:val="xl42"/>
    <w:basedOn w:val="Normal"/>
    <w:uiPriority w:val="99"/>
    <w:rsid w:val="0033740A"/>
    <w:pPr>
      <w:pBdr>
        <w:left w:val="single" w:sz="4" w:space="0" w:color="auto"/>
      </w:pBdr>
      <w:spacing w:before="100" w:beforeAutospacing="1" w:after="100" w:afterAutospacing="1"/>
      <w:jc w:val="center"/>
    </w:pPr>
    <w:rPr>
      <w:rFonts w:ascii="Book Antiqua" w:eastAsia="Times New Roman" w:hAnsi="Book Antiqua" w:cs="Times New Roman"/>
      <w:szCs w:val="24"/>
      <w:lang w:val="en-GB" w:bidi="ar-SA"/>
    </w:rPr>
  </w:style>
  <w:style w:type="paragraph" w:customStyle="1" w:styleId="xl43">
    <w:name w:val="xl43"/>
    <w:basedOn w:val="Normal"/>
    <w:uiPriority w:val="99"/>
    <w:rsid w:val="0033740A"/>
    <w:pPr>
      <w:pBdr>
        <w:bottom w:val="single" w:sz="4" w:space="0" w:color="auto"/>
      </w:pBd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44">
    <w:name w:val="xl44"/>
    <w:basedOn w:val="Normal"/>
    <w:uiPriority w:val="99"/>
    <w:rsid w:val="0033740A"/>
    <w:pPr>
      <w:pBdr>
        <w:bottom w:val="single" w:sz="4" w:space="0" w:color="auto"/>
        <w:right w:val="single" w:sz="4" w:space="0" w:color="auto"/>
      </w:pBd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45">
    <w:name w:val="xl45"/>
    <w:basedOn w:val="Normal"/>
    <w:uiPriority w:val="99"/>
    <w:rsid w:val="0033740A"/>
    <w:pP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46">
    <w:name w:val="xl46"/>
    <w:basedOn w:val="Normal"/>
    <w:uiPriority w:val="99"/>
    <w:rsid w:val="0033740A"/>
    <w:pPr>
      <w:pBdr>
        <w:left w:val="single" w:sz="4" w:space="0" w:color="auto"/>
        <w:bottom w:val="single" w:sz="4" w:space="0" w:color="auto"/>
      </w:pBd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47">
    <w:name w:val="xl47"/>
    <w:basedOn w:val="Normal"/>
    <w:uiPriority w:val="99"/>
    <w:rsid w:val="0033740A"/>
    <w:pP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48">
    <w:name w:val="xl48"/>
    <w:basedOn w:val="Normal"/>
    <w:uiPriority w:val="99"/>
    <w:rsid w:val="0033740A"/>
    <w:pPr>
      <w:spacing w:before="100" w:beforeAutospacing="1" w:after="100" w:afterAutospacing="1"/>
      <w:jc w:val="right"/>
    </w:pPr>
    <w:rPr>
      <w:rFonts w:ascii="Book Antiqua" w:eastAsia="Times New Roman" w:hAnsi="Book Antiqua" w:cs="Times New Roman"/>
      <w:szCs w:val="24"/>
      <w:lang w:val="en-GB" w:bidi="ar-SA"/>
    </w:rPr>
  </w:style>
  <w:style w:type="paragraph" w:customStyle="1" w:styleId="xl49">
    <w:name w:val="xl49"/>
    <w:basedOn w:val="Normal"/>
    <w:uiPriority w:val="99"/>
    <w:rsid w:val="0033740A"/>
    <w:pPr>
      <w:pBdr>
        <w:top w:val="single" w:sz="4" w:space="0" w:color="auto"/>
        <w:left w:val="single" w:sz="4" w:space="0" w:color="auto"/>
        <w:bottom w:val="single" w:sz="4" w:space="0" w:color="auto"/>
      </w:pBdr>
      <w:spacing w:before="100" w:beforeAutospacing="1" w:after="100" w:afterAutospacing="1"/>
      <w:jc w:val="center"/>
    </w:pPr>
    <w:rPr>
      <w:rFonts w:ascii="Book Antiqua" w:eastAsia="Times New Roman" w:hAnsi="Book Antiqua" w:cs="Times New Roman"/>
      <w:b/>
      <w:bCs/>
      <w:szCs w:val="24"/>
      <w:lang w:val="en-GB" w:bidi="ar-SA"/>
    </w:rPr>
  </w:style>
  <w:style w:type="paragraph" w:customStyle="1" w:styleId="xl50">
    <w:name w:val="xl50"/>
    <w:basedOn w:val="Normal"/>
    <w:uiPriority w:val="99"/>
    <w:rsid w:val="0033740A"/>
    <w:pPr>
      <w:pBdr>
        <w:top w:val="single" w:sz="4" w:space="0" w:color="auto"/>
        <w:bottom w:val="single" w:sz="4" w:space="0" w:color="auto"/>
      </w:pBdr>
      <w:spacing w:before="100" w:beforeAutospacing="1" w:after="100" w:afterAutospacing="1"/>
      <w:jc w:val="center"/>
    </w:pPr>
    <w:rPr>
      <w:rFonts w:ascii="Book Antiqua" w:eastAsia="Times New Roman" w:hAnsi="Book Antiqua" w:cs="Times New Roman"/>
      <w:b/>
      <w:bCs/>
      <w:szCs w:val="24"/>
      <w:lang w:val="en-GB" w:bidi="ar-SA"/>
    </w:rPr>
  </w:style>
  <w:style w:type="paragraph" w:customStyle="1" w:styleId="xl51">
    <w:name w:val="xl51"/>
    <w:basedOn w:val="Normal"/>
    <w:uiPriority w:val="99"/>
    <w:rsid w:val="0033740A"/>
    <w:pPr>
      <w:pBdr>
        <w:top w:val="single" w:sz="4" w:space="0" w:color="auto"/>
        <w:bottom w:val="single" w:sz="4" w:space="0" w:color="auto"/>
      </w:pBdr>
      <w:spacing w:before="100" w:beforeAutospacing="1" w:after="100" w:afterAutospacing="1"/>
      <w:jc w:val="center"/>
    </w:pPr>
    <w:rPr>
      <w:rFonts w:eastAsia="Times New Roman" w:cs="Times New Roman"/>
      <w:szCs w:val="24"/>
      <w:lang w:val="en-GB" w:bidi="ar-SA"/>
    </w:rPr>
  </w:style>
  <w:style w:type="paragraph" w:customStyle="1" w:styleId="xl52">
    <w:name w:val="xl52"/>
    <w:basedOn w:val="Normal"/>
    <w:uiPriority w:val="99"/>
    <w:rsid w:val="0033740A"/>
    <w:pPr>
      <w:pBdr>
        <w:top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val="en-GB" w:bidi="ar-SA"/>
    </w:rPr>
  </w:style>
  <w:style w:type="paragraph" w:styleId="TableofFigures">
    <w:name w:val="table of figures"/>
    <w:basedOn w:val="Normal"/>
    <w:next w:val="Normal"/>
    <w:uiPriority w:val="99"/>
    <w:semiHidden/>
    <w:rsid w:val="0033740A"/>
    <w:pPr>
      <w:ind w:left="400" w:hanging="400"/>
    </w:pPr>
    <w:rPr>
      <w:rFonts w:eastAsia="Times New Roman" w:cs="Times New Roman"/>
      <w:bCs/>
      <w:sz w:val="22"/>
      <w:szCs w:val="20"/>
      <w:lang w:val="en-GB" w:eastAsia="en-GB" w:bidi="ar-SA"/>
    </w:rPr>
  </w:style>
  <w:style w:type="character" w:customStyle="1" w:styleId="medium-normal1">
    <w:name w:val="medium-normal1"/>
    <w:basedOn w:val="DefaultParagraphFont"/>
    <w:uiPriority w:val="99"/>
    <w:rsid w:val="0033740A"/>
    <w:rPr>
      <w:rFonts w:ascii="Arial" w:hAnsi="Arial" w:cs="Arial"/>
      <w:sz w:val="26"/>
      <w:szCs w:val="26"/>
    </w:rPr>
  </w:style>
  <w:style w:type="character" w:styleId="Emphasis">
    <w:name w:val="Emphasis"/>
    <w:basedOn w:val="DefaultParagraphFont"/>
    <w:uiPriority w:val="20"/>
    <w:qFormat/>
    <w:rsid w:val="0033740A"/>
    <w:rPr>
      <w:rFonts w:cs="Times New Roman"/>
      <w:i/>
      <w:iCs/>
    </w:rPr>
  </w:style>
  <w:style w:type="character" w:styleId="Strong">
    <w:name w:val="Strong"/>
    <w:basedOn w:val="DefaultParagraphFont"/>
    <w:uiPriority w:val="22"/>
    <w:qFormat/>
    <w:rsid w:val="0033740A"/>
    <w:rPr>
      <w:rFonts w:cs="Times New Roman"/>
      <w:b/>
      <w:bCs/>
    </w:rPr>
  </w:style>
  <w:style w:type="table" w:customStyle="1" w:styleId="LightShading1">
    <w:name w:val="Light Shading1"/>
    <w:uiPriority w:val="60"/>
    <w:rsid w:val="0033740A"/>
    <w:pPr>
      <w:spacing w:after="0" w:line="240" w:lineRule="auto"/>
    </w:pPr>
    <w:rPr>
      <w:rFonts w:ascii="Calibri" w:eastAsia="Calibri" w:hAnsi="Calibri" w:cs="Times New Roman"/>
      <w:color w:val="000000"/>
      <w:sz w:val="20"/>
      <w:szCs w:val="20"/>
      <w:lang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1">
    <w:name w:val="Medium List 11"/>
    <w:uiPriority w:val="99"/>
    <w:rsid w:val="0033740A"/>
    <w:pPr>
      <w:spacing w:after="0" w:line="240" w:lineRule="auto"/>
    </w:pPr>
    <w:rPr>
      <w:rFonts w:ascii="Calibri" w:eastAsia="Times New Roman" w:hAnsi="Calibri" w:cs="Times New Roman"/>
      <w:color w:val="000000"/>
      <w:sz w:val="20"/>
      <w:szCs w:val="20"/>
      <w:lang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33740A"/>
    <w:pPr>
      <w:pBdr>
        <w:bottom w:val="single" w:sz="4" w:space="1" w:color="auto"/>
      </w:pBdr>
      <w:spacing w:after="200"/>
      <w:contextualSpacing/>
    </w:pPr>
    <w:rPr>
      <w:rFonts w:ascii="Cambria" w:eastAsia="Times New Roman" w:hAnsi="Cambria" w:cs="Times New Roman"/>
      <w:spacing w:val="5"/>
      <w:sz w:val="52"/>
      <w:szCs w:val="52"/>
    </w:rPr>
  </w:style>
  <w:style w:type="character" w:customStyle="1" w:styleId="TitleChar">
    <w:name w:val="Title Char"/>
    <w:basedOn w:val="DefaultParagraphFont"/>
    <w:link w:val="Title"/>
    <w:uiPriority w:val="10"/>
    <w:rsid w:val="0033740A"/>
    <w:rPr>
      <w:rFonts w:ascii="Cambria" w:eastAsia="Times New Roman" w:hAnsi="Cambria" w:cs="Times New Roman"/>
      <w:spacing w:val="5"/>
      <w:sz w:val="52"/>
      <w:szCs w:val="52"/>
      <w:lang w:val="en-US" w:bidi="en-US"/>
    </w:rPr>
  </w:style>
  <w:style w:type="paragraph" w:styleId="Subtitle">
    <w:name w:val="Subtitle"/>
    <w:basedOn w:val="Normal"/>
    <w:next w:val="Normal"/>
    <w:link w:val="SubtitleChar"/>
    <w:uiPriority w:val="11"/>
    <w:rsid w:val="0033740A"/>
    <w:pPr>
      <w:spacing w:after="600" w:line="276" w:lineRule="auto"/>
    </w:pPr>
    <w:rPr>
      <w:rFonts w:ascii="Cambria" w:eastAsia="Times New Roman" w:hAnsi="Cambria" w:cs="Times New Roman"/>
      <w:i/>
      <w:iCs/>
      <w:spacing w:val="13"/>
      <w:szCs w:val="24"/>
    </w:rPr>
  </w:style>
  <w:style w:type="character" w:customStyle="1" w:styleId="SubtitleChar">
    <w:name w:val="Subtitle Char"/>
    <w:basedOn w:val="DefaultParagraphFont"/>
    <w:link w:val="Subtitle"/>
    <w:uiPriority w:val="11"/>
    <w:rsid w:val="0033740A"/>
    <w:rPr>
      <w:rFonts w:ascii="Cambria" w:eastAsia="Times New Roman" w:hAnsi="Cambria" w:cs="Times New Roman"/>
      <w:i/>
      <w:iCs/>
      <w:spacing w:val="13"/>
      <w:sz w:val="24"/>
      <w:szCs w:val="24"/>
      <w:lang w:val="en-US" w:bidi="en-US"/>
    </w:rPr>
  </w:style>
  <w:style w:type="paragraph" w:styleId="NoSpacing">
    <w:name w:val="No Spacing"/>
    <w:basedOn w:val="Normal"/>
    <w:link w:val="NoSpacingChar"/>
    <w:uiPriority w:val="1"/>
    <w:qFormat/>
    <w:rsid w:val="0033740A"/>
    <w:rPr>
      <w:rFonts w:ascii="Calibri" w:eastAsia="Times New Roman" w:hAnsi="Calibri" w:cs="Times New Roman"/>
      <w:sz w:val="22"/>
    </w:rPr>
  </w:style>
  <w:style w:type="character" w:customStyle="1" w:styleId="NoSpacingChar">
    <w:name w:val="No Spacing Char"/>
    <w:basedOn w:val="DefaultParagraphFont"/>
    <w:link w:val="NoSpacing"/>
    <w:uiPriority w:val="1"/>
    <w:rsid w:val="0033740A"/>
    <w:rPr>
      <w:rFonts w:ascii="Calibri" w:eastAsia="Times New Roman" w:hAnsi="Calibri" w:cs="Times New Roman"/>
      <w:lang w:val="en-US" w:bidi="en-US"/>
    </w:rPr>
  </w:style>
  <w:style w:type="paragraph" w:styleId="Quote">
    <w:name w:val="Quote"/>
    <w:basedOn w:val="Normal"/>
    <w:next w:val="Normal"/>
    <w:link w:val="QuoteChar"/>
    <w:uiPriority w:val="29"/>
    <w:rsid w:val="0033740A"/>
    <w:pPr>
      <w:spacing w:before="200" w:line="276" w:lineRule="auto"/>
      <w:ind w:left="360" w:right="360"/>
    </w:pPr>
    <w:rPr>
      <w:rFonts w:ascii="Calibri" w:eastAsia="Times New Roman" w:hAnsi="Calibri" w:cs="Times New Roman"/>
      <w:i/>
      <w:iCs/>
      <w:sz w:val="22"/>
    </w:rPr>
  </w:style>
  <w:style w:type="character" w:customStyle="1" w:styleId="QuoteChar">
    <w:name w:val="Quote Char"/>
    <w:basedOn w:val="DefaultParagraphFont"/>
    <w:link w:val="Quote"/>
    <w:uiPriority w:val="29"/>
    <w:rsid w:val="0033740A"/>
    <w:rPr>
      <w:rFonts w:ascii="Calibri" w:eastAsia="Times New Roman" w:hAnsi="Calibri" w:cs="Times New Roman"/>
      <w:i/>
      <w:iCs/>
      <w:lang w:val="en-US" w:bidi="en-US"/>
    </w:rPr>
  </w:style>
  <w:style w:type="paragraph" w:styleId="IntenseQuote">
    <w:name w:val="Intense Quote"/>
    <w:basedOn w:val="Normal"/>
    <w:next w:val="Normal"/>
    <w:link w:val="IntenseQuoteChar"/>
    <w:uiPriority w:val="30"/>
    <w:rsid w:val="0033740A"/>
    <w:pPr>
      <w:pBdr>
        <w:bottom w:val="single" w:sz="4" w:space="1" w:color="auto"/>
      </w:pBdr>
      <w:spacing w:before="200" w:after="280" w:line="276" w:lineRule="auto"/>
      <w:ind w:left="1008" w:right="1152"/>
      <w:jc w:val="both"/>
    </w:pPr>
    <w:rPr>
      <w:rFonts w:ascii="Calibri" w:eastAsia="Times New Roman" w:hAnsi="Calibri" w:cs="Times New Roman"/>
      <w:b/>
      <w:bCs/>
      <w:i/>
      <w:iCs/>
      <w:sz w:val="22"/>
    </w:rPr>
  </w:style>
  <w:style w:type="character" w:customStyle="1" w:styleId="IntenseQuoteChar">
    <w:name w:val="Intense Quote Char"/>
    <w:basedOn w:val="DefaultParagraphFont"/>
    <w:link w:val="IntenseQuote"/>
    <w:uiPriority w:val="30"/>
    <w:rsid w:val="0033740A"/>
    <w:rPr>
      <w:rFonts w:ascii="Calibri" w:eastAsia="Times New Roman" w:hAnsi="Calibri" w:cs="Times New Roman"/>
      <w:b/>
      <w:bCs/>
      <w:i/>
      <w:iCs/>
      <w:lang w:val="en-US" w:bidi="en-US"/>
    </w:rPr>
  </w:style>
  <w:style w:type="character" w:styleId="SubtleEmphasis">
    <w:name w:val="Subtle Emphasis"/>
    <w:uiPriority w:val="19"/>
    <w:rsid w:val="0033740A"/>
    <w:rPr>
      <w:i/>
      <w:iCs/>
    </w:rPr>
  </w:style>
  <w:style w:type="character" w:styleId="SubtleReference">
    <w:name w:val="Subtle Reference"/>
    <w:uiPriority w:val="31"/>
    <w:rsid w:val="0033740A"/>
    <w:rPr>
      <w:smallCaps/>
    </w:rPr>
  </w:style>
  <w:style w:type="character" w:styleId="IntenseReference">
    <w:name w:val="Intense Reference"/>
    <w:uiPriority w:val="32"/>
    <w:rsid w:val="0033740A"/>
    <w:rPr>
      <w:smallCaps/>
      <w:spacing w:val="5"/>
      <w:u w:val="single"/>
    </w:rPr>
  </w:style>
  <w:style w:type="character" w:styleId="BookTitle">
    <w:name w:val="Book Title"/>
    <w:uiPriority w:val="33"/>
    <w:rsid w:val="0033740A"/>
    <w:rPr>
      <w:i/>
      <w:iCs/>
      <w:smallCaps/>
      <w:spacing w:val="5"/>
    </w:rPr>
  </w:style>
  <w:style w:type="paragraph" w:styleId="TOCHeading">
    <w:name w:val="TOC Heading"/>
    <w:basedOn w:val="Heading1"/>
    <w:next w:val="Normal"/>
    <w:uiPriority w:val="39"/>
    <w:unhideWhenUsed/>
    <w:qFormat/>
    <w:rsid w:val="0033740A"/>
    <w:pPr>
      <w:keepNext w:val="0"/>
      <w:spacing w:before="480" w:line="276" w:lineRule="auto"/>
      <w:contextualSpacing/>
      <w:outlineLvl w:val="9"/>
    </w:pPr>
    <w:rPr>
      <w:rFonts w:eastAsia="Times New Roman" w:cs="Times New Roman"/>
      <w:kern w:val="0"/>
      <w:szCs w:val="28"/>
      <w:lang w:val="en-US" w:eastAsia="en-US" w:bidi="en-US"/>
    </w:rPr>
  </w:style>
  <w:style w:type="character" w:styleId="FootnoteReference">
    <w:name w:val="footnote reference"/>
    <w:basedOn w:val="DefaultParagraphFont"/>
    <w:uiPriority w:val="99"/>
    <w:semiHidden/>
    <w:unhideWhenUsed/>
    <w:rsid w:val="0033740A"/>
    <w:rPr>
      <w:vertAlign w:val="superscript"/>
    </w:rPr>
  </w:style>
  <w:style w:type="paragraph" w:styleId="BlockText">
    <w:name w:val="Block Text"/>
    <w:basedOn w:val="Normal"/>
    <w:semiHidden/>
    <w:rsid w:val="0033740A"/>
    <w:pPr>
      <w:tabs>
        <w:tab w:val="left" w:pos="6521"/>
        <w:tab w:val="left" w:pos="7513"/>
        <w:tab w:val="left" w:pos="8505"/>
      </w:tabs>
      <w:ind w:left="567" w:right="284"/>
      <w:jc w:val="both"/>
    </w:pPr>
    <w:rPr>
      <w:rFonts w:ascii="Book Antiqua" w:eastAsia="Times New Roman" w:hAnsi="Book Antiqua" w:cs="Times New Roman"/>
      <w:color w:val="000000"/>
      <w:sz w:val="22"/>
      <w:szCs w:val="20"/>
      <w:lang w:bidi="ar-SA"/>
    </w:rPr>
  </w:style>
  <w:style w:type="paragraph" w:customStyle="1" w:styleId="Newheading2">
    <w:name w:val="New heading 2"/>
    <w:next w:val="Normal"/>
    <w:uiPriority w:val="99"/>
    <w:rsid w:val="0033740A"/>
    <w:pPr>
      <w:spacing w:after="0" w:line="360" w:lineRule="auto"/>
    </w:pPr>
    <w:rPr>
      <w:rFonts w:ascii="Book Antiqua" w:eastAsia="Times New Roman" w:hAnsi="Book Antiqua" w:cs="Times New Roman"/>
      <w:szCs w:val="20"/>
    </w:rPr>
  </w:style>
  <w:style w:type="paragraph" w:customStyle="1" w:styleId="Normal2">
    <w:name w:val="Normal2"/>
    <w:basedOn w:val="Normal"/>
    <w:rsid w:val="0033740A"/>
    <w:pPr>
      <w:tabs>
        <w:tab w:val="left" w:pos="2127"/>
      </w:tabs>
      <w:spacing w:before="80" w:line="240" w:lineRule="auto"/>
      <w:ind w:right="96"/>
      <w:jc w:val="both"/>
    </w:pPr>
    <w:rPr>
      <w:rFonts w:eastAsia="Times New Roman" w:cs="Times New Roman"/>
      <w:lang w:val="en-GB" w:eastAsia="en-GB" w:bidi="ar-SA"/>
    </w:rPr>
  </w:style>
  <w:style w:type="paragraph" w:styleId="PlainText">
    <w:name w:val="Plain Text"/>
    <w:basedOn w:val="Normal"/>
    <w:link w:val="PlainTextChar"/>
    <w:uiPriority w:val="99"/>
    <w:unhideWhenUsed/>
    <w:rsid w:val="0033740A"/>
    <w:pPr>
      <w:spacing w:line="240" w:lineRule="auto"/>
    </w:pPr>
    <w:rPr>
      <w:rFonts w:ascii="Consolas" w:eastAsiaTheme="minorHAnsi" w:hAnsi="Consolas"/>
      <w:sz w:val="21"/>
      <w:szCs w:val="21"/>
      <w:lang w:val="en-GB" w:bidi="ar-SA"/>
    </w:rPr>
  </w:style>
  <w:style w:type="character" w:customStyle="1" w:styleId="PlainTextChar">
    <w:name w:val="Plain Text Char"/>
    <w:basedOn w:val="DefaultParagraphFont"/>
    <w:link w:val="PlainText"/>
    <w:uiPriority w:val="99"/>
    <w:rsid w:val="0033740A"/>
    <w:rPr>
      <w:rFonts w:ascii="Consolas" w:hAnsi="Consolas"/>
      <w:sz w:val="21"/>
      <w:szCs w:val="21"/>
    </w:rPr>
  </w:style>
  <w:style w:type="paragraph" w:customStyle="1" w:styleId="xmsonormal">
    <w:name w:val="x_msonormal"/>
    <w:basedOn w:val="Normal"/>
    <w:rsid w:val="0033740A"/>
    <w:pPr>
      <w:spacing w:line="240" w:lineRule="auto"/>
    </w:pPr>
    <w:rPr>
      <w:rFonts w:ascii="Calibri" w:eastAsiaTheme="minorHAnsi" w:hAnsi="Calibri" w:cs="Calibri"/>
      <w:sz w:val="22"/>
      <w:lang w:val="en-GB" w:eastAsia="en-GB" w:bidi="ar-SA"/>
    </w:rPr>
  </w:style>
  <w:style w:type="paragraph" w:customStyle="1" w:styleId="xmsofootnotetext">
    <w:name w:val="x_msofootnotetext"/>
    <w:basedOn w:val="Normal"/>
    <w:rsid w:val="0033740A"/>
    <w:rPr>
      <w:rFonts w:eastAsiaTheme="minorHAnsi" w:cs="Times New Roman"/>
      <w:szCs w:val="24"/>
      <w:lang w:val="en-GB" w:eastAsia="en-GB" w:bidi="ar-SA"/>
    </w:rPr>
  </w:style>
  <w:style w:type="character" w:customStyle="1" w:styleId="EndNoteBibliographyCar">
    <w:name w:val="EndNote Bibliography Car"/>
    <w:basedOn w:val="DefaultParagraphFont"/>
    <w:link w:val="EndNoteBibliography"/>
    <w:locked/>
    <w:rsid w:val="0033740A"/>
    <w:rPr>
      <w:rFonts w:ascii="Times New Roman" w:hAnsi="Times New Roman" w:cs="Times New Roman"/>
      <w:noProof/>
      <w:sz w:val="24"/>
    </w:rPr>
  </w:style>
  <w:style w:type="paragraph" w:customStyle="1" w:styleId="EndNoteBibliography">
    <w:name w:val="EndNote Bibliography"/>
    <w:basedOn w:val="Normal"/>
    <w:link w:val="EndNoteBibliographyCar"/>
    <w:rsid w:val="0033740A"/>
    <w:pPr>
      <w:spacing w:after="200" w:line="240" w:lineRule="auto"/>
    </w:pPr>
    <w:rPr>
      <w:rFonts w:eastAsiaTheme="minorHAnsi" w:cs="Times New Roman"/>
      <w:noProof/>
      <w:lang w:val="en-GB" w:bidi="ar-SA"/>
    </w:rPr>
  </w:style>
  <w:style w:type="character" w:customStyle="1" w:styleId="author">
    <w:name w:val="author"/>
    <w:basedOn w:val="DefaultParagraphFont"/>
    <w:rsid w:val="0033740A"/>
  </w:style>
  <w:style w:type="character" w:customStyle="1" w:styleId="articletitle">
    <w:name w:val="articletitle"/>
    <w:basedOn w:val="DefaultParagraphFont"/>
    <w:rsid w:val="0033740A"/>
  </w:style>
  <w:style w:type="character" w:customStyle="1" w:styleId="pubyear">
    <w:name w:val="pubyear"/>
    <w:basedOn w:val="DefaultParagraphFont"/>
    <w:rsid w:val="0033740A"/>
  </w:style>
  <w:style w:type="character" w:customStyle="1" w:styleId="vol">
    <w:name w:val="vol"/>
    <w:basedOn w:val="DefaultParagraphFont"/>
    <w:rsid w:val="0033740A"/>
  </w:style>
  <w:style w:type="character" w:customStyle="1" w:styleId="pagefirst">
    <w:name w:val="pagefirst"/>
    <w:basedOn w:val="DefaultParagraphFont"/>
    <w:rsid w:val="0033740A"/>
  </w:style>
  <w:style w:type="character" w:customStyle="1" w:styleId="pagelast">
    <w:name w:val="pagelast"/>
    <w:basedOn w:val="DefaultParagraphFont"/>
    <w:rsid w:val="0033740A"/>
  </w:style>
  <w:style w:type="character" w:styleId="UnresolvedMention">
    <w:name w:val="Unresolved Mention"/>
    <w:basedOn w:val="DefaultParagraphFont"/>
    <w:uiPriority w:val="99"/>
    <w:semiHidden/>
    <w:unhideWhenUsed/>
    <w:rsid w:val="0033740A"/>
    <w:rPr>
      <w:color w:val="605E5C"/>
      <w:shd w:val="clear" w:color="auto" w:fill="E1DFDD"/>
    </w:rPr>
  </w:style>
  <w:style w:type="table" w:customStyle="1" w:styleId="TableGrid1">
    <w:name w:val="Table Grid1"/>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wire-citation-author">
    <w:name w:val="highwire-citation-author"/>
    <w:basedOn w:val="DefaultParagraphFont"/>
    <w:rsid w:val="0033740A"/>
  </w:style>
  <w:style w:type="character" w:customStyle="1" w:styleId="nlm-surname">
    <w:name w:val="nlm-surname"/>
    <w:basedOn w:val="DefaultParagraphFont"/>
    <w:rsid w:val="0033740A"/>
  </w:style>
  <w:style w:type="character" w:customStyle="1" w:styleId="highwire-cite-metadata-journal">
    <w:name w:val="highwire-cite-metadata-journal"/>
    <w:basedOn w:val="DefaultParagraphFont"/>
    <w:rsid w:val="0033740A"/>
  </w:style>
  <w:style w:type="character" w:customStyle="1" w:styleId="highwire-cite-metadata-year">
    <w:name w:val="highwire-cite-metadata-year"/>
    <w:basedOn w:val="DefaultParagraphFont"/>
    <w:rsid w:val="0033740A"/>
  </w:style>
  <w:style w:type="character" w:customStyle="1" w:styleId="highwire-cite-metadata-volume">
    <w:name w:val="highwire-cite-metadata-volume"/>
    <w:basedOn w:val="DefaultParagraphFont"/>
    <w:rsid w:val="0033740A"/>
  </w:style>
  <w:style w:type="character" w:customStyle="1" w:styleId="highwire-cite-metadata-pages">
    <w:name w:val="highwire-cite-metadata-pages"/>
    <w:basedOn w:val="DefaultParagraphFont"/>
    <w:rsid w:val="0033740A"/>
  </w:style>
  <w:style w:type="character" w:customStyle="1" w:styleId="UnresolvedMention1">
    <w:name w:val="Unresolved Mention1"/>
    <w:basedOn w:val="DefaultParagraphFont"/>
    <w:uiPriority w:val="99"/>
    <w:semiHidden/>
    <w:unhideWhenUsed/>
    <w:rsid w:val="0033740A"/>
    <w:rPr>
      <w:color w:val="605E5C"/>
      <w:shd w:val="clear" w:color="auto" w:fill="E1DFDD"/>
    </w:rPr>
  </w:style>
  <w:style w:type="paragraph" w:styleId="Revision">
    <w:name w:val="Revision"/>
    <w:hidden/>
    <w:uiPriority w:val="99"/>
    <w:semiHidden/>
    <w:rsid w:val="0033740A"/>
    <w:pPr>
      <w:spacing w:after="0" w:line="240" w:lineRule="auto"/>
    </w:pPr>
    <w:rPr>
      <w:rFonts w:ascii="Times New Roman" w:hAnsi="Times New Roman"/>
      <w:color w:val="000000" w:themeColor="text1"/>
      <w:sz w:val="24"/>
    </w:rPr>
  </w:style>
  <w:style w:type="character" w:customStyle="1" w:styleId="UnresolvedMention2">
    <w:name w:val="Unresolved Mention2"/>
    <w:basedOn w:val="DefaultParagraphFont"/>
    <w:uiPriority w:val="99"/>
    <w:semiHidden/>
    <w:unhideWhenUsed/>
    <w:rsid w:val="0033740A"/>
    <w:rPr>
      <w:color w:val="605E5C"/>
      <w:shd w:val="clear" w:color="auto" w:fill="E1DFDD"/>
    </w:rPr>
  </w:style>
  <w:style w:type="table" w:styleId="GridTable4">
    <w:name w:val="Grid Table 4"/>
    <w:basedOn w:val="TableNormal"/>
    <w:uiPriority w:val="49"/>
    <w:rsid w:val="0033740A"/>
    <w:pPr>
      <w:spacing w:after="0" w:line="240" w:lineRule="auto"/>
    </w:pPr>
    <w:rPr>
      <w:lang w:val="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element-citation">
    <w:name w:val="element-citation"/>
    <w:basedOn w:val="DefaultParagraphFont"/>
    <w:rsid w:val="0033740A"/>
  </w:style>
  <w:style w:type="character" w:customStyle="1" w:styleId="ref-journal">
    <w:name w:val="ref-journal"/>
    <w:basedOn w:val="DefaultParagraphFont"/>
    <w:rsid w:val="0033740A"/>
  </w:style>
  <w:style w:type="character" w:customStyle="1" w:styleId="ref-vol">
    <w:name w:val="ref-vol"/>
    <w:basedOn w:val="DefaultParagraphFont"/>
    <w:rsid w:val="0033740A"/>
  </w:style>
  <w:style w:type="numbering" w:customStyle="1" w:styleId="NoList1">
    <w:name w:val="No List1"/>
    <w:next w:val="NoList"/>
    <w:uiPriority w:val="99"/>
    <w:semiHidden/>
    <w:unhideWhenUsed/>
    <w:rsid w:val="0033740A"/>
  </w:style>
  <w:style w:type="numbering" w:customStyle="1" w:styleId="NoList2">
    <w:name w:val="No List2"/>
    <w:next w:val="NoList"/>
    <w:uiPriority w:val="99"/>
    <w:semiHidden/>
    <w:unhideWhenUsed/>
    <w:rsid w:val="0033740A"/>
  </w:style>
  <w:style w:type="table" w:customStyle="1" w:styleId="TableGrid2">
    <w:name w:val="Table Grid2"/>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3740A"/>
  </w:style>
  <w:style w:type="table" w:customStyle="1" w:styleId="TableGrid3">
    <w:name w:val="Table Grid3"/>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3740A"/>
  </w:style>
  <w:style w:type="table" w:customStyle="1" w:styleId="TableGrid4">
    <w:name w:val="Table Grid4"/>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7B2EB0"/>
    <w:pPr>
      <w:jc w:val="center"/>
    </w:pPr>
    <w:rPr>
      <w:rFonts w:cs="Times New Roman"/>
      <w:noProof/>
    </w:rPr>
  </w:style>
  <w:style w:type="character" w:customStyle="1" w:styleId="EndNoteBibliographyTitleChar">
    <w:name w:val="EndNote Bibliography Title Char"/>
    <w:basedOn w:val="Heading3Char"/>
    <w:link w:val="EndNoteBibliographyTitle"/>
    <w:rsid w:val="007B2EB0"/>
    <w:rPr>
      <w:rFonts w:ascii="Times New Roman" w:eastAsiaTheme="minorEastAsia" w:hAnsi="Times New Roman" w:cs="Times New Roman"/>
      <w:b w:val="0"/>
      <w:bCs w:val="0"/>
      <w:i w:val="0"/>
      <w:noProof/>
      <w:sz w:val="24"/>
      <w:szCs w:val="26"/>
      <w:lang w:val="en-US" w:eastAsia="en-GB" w:bidi="en-US"/>
    </w:rPr>
  </w:style>
  <w:style w:type="character" w:customStyle="1" w:styleId="docsum-authors">
    <w:name w:val="docsum-authors"/>
    <w:basedOn w:val="DefaultParagraphFont"/>
    <w:rsid w:val="002B0A09"/>
  </w:style>
  <w:style w:type="character" w:customStyle="1" w:styleId="docsum-journal-citation">
    <w:name w:val="docsum-journal-citation"/>
    <w:basedOn w:val="DefaultParagraphFont"/>
    <w:rsid w:val="002B0A09"/>
  </w:style>
  <w:style w:type="character" w:customStyle="1" w:styleId="period">
    <w:name w:val="period"/>
    <w:basedOn w:val="DefaultParagraphFont"/>
    <w:rsid w:val="002B0A09"/>
  </w:style>
  <w:style w:type="character" w:customStyle="1" w:styleId="cit">
    <w:name w:val="cit"/>
    <w:basedOn w:val="DefaultParagraphFont"/>
    <w:rsid w:val="002B0A09"/>
  </w:style>
  <w:style w:type="character" w:customStyle="1" w:styleId="citation-doi">
    <w:name w:val="citation-doi"/>
    <w:basedOn w:val="DefaultParagraphFont"/>
    <w:rsid w:val="002B0A09"/>
  </w:style>
  <w:style w:type="character" w:customStyle="1" w:styleId="secondary-date">
    <w:name w:val="secondary-date"/>
    <w:basedOn w:val="DefaultParagraphFont"/>
    <w:rsid w:val="002B0A09"/>
  </w:style>
  <w:style w:type="character" w:customStyle="1" w:styleId="author-sup-separator">
    <w:name w:val="author-sup-separator"/>
    <w:basedOn w:val="DefaultParagraphFont"/>
    <w:rsid w:val="002B0A09"/>
  </w:style>
  <w:style w:type="character" w:customStyle="1" w:styleId="comma">
    <w:name w:val="comma"/>
    <w:basedOn w:val="DefaultParagraphFont"/>
    <w:rsid w:val="002B0A09"/>
  </w:style>
  <w:style w:type="character" w:customStyle="1" w:styleId="authors-list-item">
    <w:name w:val="authors-list-item"/>
    <w:basedOn w:val="DefaultParagraphFont"/>
    <w:rsid w:val="00F307DA"/>
  </w:style>
  <w:style w:type="character" w:customStyle="1" w:styleId="Title1">
    <w:name w:val="Title1"/>
    <w:basedOn w:val="DefaultParagraphFont"/>
    <w:rsid w:val="00F307DA"/>
  </w:style>
  <w:style w:type="character" w:customStyle="1" w:styleId="id-label">
    <w:name w:val="id-label"/>
    <w:basedOn w:val="DefaultParagraphFont"/>
    <w:rsid w:val="00F30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23741">
      <w:bodyDiv w:val="1"/>
      <w:marLeft w:val="0"/>
      <w:marRight w:val="0"/>
      <w:marTop w:val="0"/>
      <w:marBottom w:val="0"/>
      <w:divBdr>
        <w:top w:val="none" w:sz="0" w:space="0" w:color="auto"/>
        <w:left w:val="none" w:sz="0" w:space="0" w:color="auto"/>
        <w:bottom w:val="none" w:sz="0" w:space="0" w:color="auto"/>
        <w:right w:val="none" w:sz="0" w:space="0" w:color="auto"/>
      </w:divBdr>
    </w:div>
    <w:div w:id="383220407">
      <w:bodyDiv w:val="1"/>
      <w:marLeft w:val="0"/>
      <w:marRight w:val="0"/>
      <w:marTop w:val="0"/>
      <w:marBottom w:val="0"/>
      <w:divBdr>
        <w:top w:val="none" w:sz="0" w:space="0" w:color="auto"/>
        <w:left w:val="none" w:sz="0" w:space="0" w:color="auto"/>
        <w:bottom w:val="none" w:sz="0" w:space="0" w:color="auto"/>
        <w:right w:val="none" w:sz="0" w:space="0" w:color="auto"/>
      </w:divBdr>
    </w:div>
    <w:div w:id="391805488">
      <w:bodyDiv w:val="1"/>
      <w:marLeft w:val="0"/>
      <w:marRight w:val="0"/>
      <w:marTop w:val="0"/>
      <w:marBottom w:val="0"/>
      <w:divBdr>
        <w:top w:val="none" w:sz="0" w:space="0" w:color="auto"/>
        <w:left w:val="none" w:sz="0" w:space="0" w:color="auto"/>
        <w:bottom w:val="none" w:sz="0" w:space="0" w:color="auto"/>
        <w:right w:val="none" w:sz="0" w:space="0" w:color="auto"/>
      </w:divBdr>
    </w:div>
    <w:div w:id="969096351">
      <w:bodyDiv w:val="1"/>
      <w:marLeft w:val="0"/>
      <w:marRight w:val="0"/>
      <w:marTop w:val="0"/>
      <w:marBottom w:val="0"/>
      <w:divBdr>
        <w:top w:val="none" w:sz="0" w:space="0" w:color="auto"/>
        <w:left w:val="none" w:sz="0" w:space="0" w:color="auto"/>
        <w:bottom w:val="none" w:sz="0" w:space="0" w:color="auto"/>
        <w:right w:val="none" w:sz="0" w:space="0" w:color="auto"/>
      </w:divBdr>
    </w:div>
    <w:div w:id="990794410">
      <w:bodyDiv w:val="1"/>
      <w:marLeft w:val="0"/>
      <w:marRight w:val="0"/>
      <w:marTop w:val="0"/>
      <w:marBottom w:val="0"/>
      <w:divBdr>
        <w:top w:val="none" w:sz="0" w:space="0" w:color="auto"/>
        <w:left w:val="none" w:sz="0" w:space="0" w:color="auto"/>
        <w:bottom w:val="none" w:sz="0" w:space="0" w:color="auto"/>
        <w:right w:val="none" w:sz="0" w:space="0" w:color="auto"/>
      </w:divBdr>
    </w:div>
    <w:div w:id="1161237389">
      <w:bodyDiv w:val="1"/>
      <w:marLeft w:val="0"/>
      <w:marRight w:val="0"/>
      <w:marTop w:val="0"/>
      <w:marBottom w:val="0"/>
      <w:divBdr>
        <w:top w:val="none" w:sz="0" w:space="0" w:color="auto"/>
        <w:left w:val="none" w:sz="0" w:space="0" w:color="auto"/>
        <w:bottom w:val="none" w:sz="0" w:space="0" w:color="auto"/>
        <w:right w:val="none" w:sz="0" w:space="0" w:color="auto"/>
      </w:divBdr>
    </w:div>
    <w:div w:id="1408959389">
      <w:bodyDiv w:val="1"/>
      <w:marLeft w:val="0"/>
      <w:marRight w:val="0"/>
      <w:marTop w:val="0"/>
      <w:marBottom w:val="0"/>
      <w:divBdr>
        <w:top w:val="none" w:sz="0" w:space="0" w:color="auto"/>
        <w:left w:val="none" w:sz="0" w:space="0" w:color="auto"/>
        <w:bottom w:val="none" w:sz="0" w:space="0" w:color="auto"/>
        <w:right w:val="none" w:sz="0" w:space="0" w:color="auto"/>
      </w:divBdr>
    </w:div>
    <w:div w:id="1518763651">
      <w:bodyDiv w:val="1"/>
      <w:marLeft w:val="0"/>
      <w:marRight w:val="0"/>
      <w:marTop w:val="0"/>
      <w:marBottom w:val="0"/>
      <w:divBdr>
        <w:top w:val="none" w:sz="0" w:space="0" w:color="auto"/>
        <w:left w:val="none" w:sz="0" w:space="0" w:color="auto"/>
        <w:bottom w:val="none" w:sz="0" w:space="0" w:color="auto"/>
        <w:right w:val="none" w:sz="0" w:space="0" w:color="auto"/>
      </w:divBdr>
    </w:div>
    <w:div w:id="1646928119">
      <w:bodyDiv w:val="1"/>
      <w:marLeft w:val="0"/>
      <w:marRight w:val="0"/>
      <w:marTop w:val="0"/>
      <w:marBottom w:val="0"/>
      <w:divBdr>
        <w:top w:val="none" w:sz="0" w:space="0" w:color="auto"/>
        <w:left w:val="none" w:sz="0" w:space="0" w:color="auto"/>
        <w:bottom w:val="none" w:sz="0" w:space="0" w:color="auto"/>
        <w:right w:val="none" w:sz="0" w:space="0" w:color="auto"/>
      </w:divBdr>
    </w:div>
    <w:div w:id="1757551067">
      <w:bodyDiv w:val="1"/>
      <w:marLeft w:val="0"/>
      <w:marRight w:val="0"/>
      <w:marTop w:val="0"/>
      <w:marBottom w:val="0"/>
      <w:divBdr>
        <w:top w:val="none" w:sz="0" w:space="0" w:color="auto"/>
        <w:left w:val="none" w:sz="0" w:space="0" w:color="auto"/>
        <w:bottom w:val="none" w:sz="0" w:space="0" w:color="auto"/>
        <w:right w:val="none" w:sz="0" w:space="0" w:color="auto"/>
      </w:divBdr>
    </w:div>
    <w:div w:id="1825200786">
      <w:bodyDiv w:val="1"/>
      <w:marLeft w:val="0"/>
      <w:marRight w:val="0"/>
      <w:marTop w:val="0"/>
      <w:marBottom w:val="0"/>
      <w:divBdr>
        <w:top w:val="none" w:sz="0" w:space="0" w:color="auto"/>
        <w:left w:val="none" w:sz="0" w:space="0" w:color="auto"/>
        <w:bottom w:val="none" w:sz="0" w:space="0" w:color="auto"/>
        <w:right w:val="none" w:sz="0" w:space="0" w:color="auto"/>
      </w:divBdr>
    </w:div>
    <w:div w:id="191261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423BF-4051-4C41-AE22-8ED2ADA0F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16</Pages>
  <Words>5159</Words>
  <Characters>29205</Characters>
  <Application>Microsoft Office Word</Application>
  <DocSecurity>0</DocSecurity>
  <Lines>1123</Lines>
  <Paragraphs>613</Paragraphs>
  <ScaleCrop>false</ScaleCrop>
  <HeadingPairs>
    <vt:vector size="2" baseType="variant">
      <vt:variant>
        <vt:lpstr>Title</vt:lpstr>
      </vt:variant>
      <vt:variant>
        <vt:i4>1</vt:i4>
      </vt:variant>
    </vt:vector>
  </HeadingPairs>
  <TitlesOfParts>
    <vt:vector size="1" baseType="lpstr">
      <vt:lpstr/>
    </vt:vector>
  </TitlesOfParts>
  <Company>University of Aberdeen</Company>
  <LinksUpToDate>false</LinksUpToDate>
  <CharactersWithSpaces>33751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hsu071</dc:creator>
  <cp:lastModifiedBy>Euan Notley</cp:lastModifiedBy>
  <cp:revision>5</cp:revision>
  <cp:lastPrinted>2022-08-16T14:27:00Z</cp:lastPrinted>
  <dcterms:created xsi:type="dcterms:W3CDTF">2022-08-16T15:22:00Z</dcterms:created>
  <dcterms:modified xsi:type="dcterms:W3CDTF">2022-08-16T15:56:00Z</dcterms:modified>
</cp:coreProperties>
</file>